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0F3A9E03" w:rsidR="008F1749" w:rsidRPr="00F54407" w:rsidRDefault="00DD115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Kokemäen</w:t>
            </w:r>
            <w:r w:rsidR="00DE2C1B">
              <w:rPr>
                <w:rFonts w:asciiTheme="majorHAnsi" w:hAnsiTheme="majorHAnsi" w:cstheme="majorHAnsi"/>
              </w:rPr>
              <w:t xml:space="preserve"> </w:t>
            </w:r>
            <w:r w:rsidR="008F1749">
              <w:rPr>
                <w:rFonts w:asciiTheme="majorHAnsi" w:hAnsiTheme="majorHAnsi" w:cstheme="majorHAnsi"/>
              </w:rPr>
              <w:t>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6FD91BC9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proofErr w:type="gramStart"/>
            <w:r w:rsidR="002A3881" w:rsidRPr="002A3881">
              <w:rPr>
                <w:rFonts w:asciiTheme="majorHAnsi" w:hAnsiTheme="majorHAnsi" w:cstheme="majorHAnsi"/>
              </w:rPr>
              <w:t>0976766-2</w:t>
            </w:r>
            <w:proofErr w:type="gramEnd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7D640FB" w14:textId="77777777" w:rsidR="008F1749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2A3881">
              <w:rPr>
                <w:rFonts w:asciiTheme="majorHAnsi" w:hAnsiTheme="majorHAnsi" w:cstheme="majorHAnsi"/>
              </w:rPr>
              <w:t>c/o Suomen 4H-liitto Porin toimipiste, Satakunnankatu 15 as 6,</w:t>
            </w:r>
          </w:p>
          <w:p w14:paraId="4082B398" w14:textId="6781F86B" w:rsidR="002A3881" w:rsidRPr="00F54407" w:rsidRDefault="002A3881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28100 PORI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606946FE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</w:t>
            </w:r>
            <w:r w:rsidR="002A3881">
              <w:rPr>
                <w:rFonts w:asciiTheme="majorHAnsi" w:hAnsiTheme="majorHAnsi" w:cstheme="majorHAnsi"/>
              </w:rPr>
              <w:t>henkilö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6DB572FE" w:rsidR="008F1749" w:rsidRPr="00F54407" w:rsidRDefault="00F55756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Anna-Kaisa Valaja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404679AE" w14:textId="77777777" w:rsidR="00F55756" w:rsidRDefault="00F55756" w:rsidP="00F557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Kokemäen 4H-yhdistys</w:t>
            </w:r>
          </w:p>
          <w:p w14:paraId="5879F752" w14:textId="605F3A25" w:rsidR="00F55756" w:rsidRDefault="00F55756" w:rsidP="00F557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c/o Suomen 4H-liitto Porin toimipiste, Satakunnankatu 15 as 6,</w:t>
            </w:r>
          </w:p>
          <w:p w14:paraId="74495AFE" w14:textId="60DF857A" w:rsidR="008F1749" w:rsidRPr="00336698" w:rsidRDefault="00F55756" w:rsidP="00F557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28100 PORI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0C55B4FD" w:rsidR="000E45A0" w:rsidRPr="000E45A0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Sähköposti: </w:t>
            </w:r>
            <w:hyperlink r:id="rId5" w:history="1">
              <w:r w:rsidR="000E45A0" w:rsidRPr="004723C9">
                <w:rPr>
                  <w:rStyle w:val="Hyperlinkki"/>
                  <w:rFonts w:asciiTheme="majorHAnsi" w:hAnsiTheme="majorHAnsi" w:cstheme="majorHAnsi"/>
                </w:rPr>
                <w:t>anna-kaisa.valaja@4h.fi</w:t>
              </w:r>
            </w:hyperlink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lastRenderedPageBreak/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>artiklan 2 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0E45A0"/>
    <w:rsid w:val="00156B28"/>
    <w:rsid w:val="00210B1E"/>
    <w:rsid w:val="002A3881"/>
    <w:rsid w:val="002D6FFD"/>
    <w:rsid w:val="00357DF7"/>
    <w:rsid w:val="0039359E"/>
    <w:rsid w:val="005B228A"/>
    <w:rsid w:val="006250C0"/>
    <w:rsid w:val="006D514E"/>
    <w:rsid w:val="00704CBE"/>
    <w:rsid w:val="00813545"/>
    <w:rsid w:val="00813DF8"/>
    <w:rsid w:val="0082059D"/>
    <w:rsid w:val="008215EB"/>
    <w:rsid w:val="00897DCB"/>
    <w:rsid w:val="008D2F93"/>
    <w:rsid w:val="008F1749"/>
    <w:rsid w:val="008F211F"/>
    <w:rsid w:val="00A51CA5"/>
    <w:rsid w:val="00BA6D9B"/>
    <w:rsid w:val="00C00065"/>
    <w:rsid w:val="00CD504C"/>
    <w:rsid w:val="00D11223"/>
    <w:rsid w:val="00DD115D"/>
    <w:rsid w:val="00DE2C1B"/>
    <w:rsid w:val="00E616FB"/>
    <w:rsid w:val="00EF2E54"/>
    <w:rsid w:val="00F37284"/>
    <w:rsid w:val="00F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-kaisa.valaja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Anna-Kaisa Valaja</cp:lastModifiedBy>
  <cp:revision>6</cp:revision>
  <dcterms:created xsi:type="dcterms:W3CDTF">2023-11-23T11:13:00Z</dcterms:created>
  <dcterms:modified xsi:type="dcterms:W3CDTF">2023-11-27T14:02:00Z</dcterms:modified>
</cp:coreProperties>
</file>