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9A062" w14:textId="25D3BE34" w:rsidR="001A408A" w:rsidRDefault="001A408A" w:rsidP="00B7363A">
      <w:pPr>
        <w:rPr>
          <w:rFonts w:cstheme="minorHAnsi"/>
          <w:b/>
          <w:sz w:val="24"/>
          <w:szCs w:val="24"/>
        </w:rPr>
      </w:pPr>
    </w:p>
    <w:p w14:paraId="47349BF8" w14:textId="77777777" w:rsidR="00483BA8" w:rsidRPr="00081A7C" w:rsidRDefault="00483BA8" w:rsidP="00B7363A">
      <w:pPr>
        <w:rPr>
          <w:rFonts w:cstheme="minorHAnsi"/>
          <w:b/>
          <w:sz w:val="24"/>
          <w:szCs w:val="24"/>
        </w:rPr>
      </w:pPr>
    </w:p>
    <w:p w14:paraId="31871E4B" w14:textId="1F997CA6" w:rsidR="00081A7C" w:rsidRPr="00081A7C" w:rsidRDefault="00081A7C" w:rsidP="001A408A">
      <w:pPr>
        <w:pStyle w:val="ListParagraph"/>
        <w:ind w:left="360"/>
        <w:rPr>
          <w:rFonts w:cstheme="minorHAnsi"/>
          <w:b/>
          <w:sz w:val="24"/>
          <w:szCs w:val="24"/>
        </w:rPr>
      </w:pPr>
    </w:p>
    <w:p w14:paraId="280CAD35" w14:textId="56270211" w:rsidR="001A408A" w:rsidRPr="00081A7C" w:rsidRDefault="00081A7C" w:rsidP="00081A7C">
      <w:pPr>
        <w:pStyle w:val="ListParagraph"/>
        <w:ind w:left="360"/>
        <w:jc w:val="center"/>
        <w:rPr>
          <w:rFonts w:cstheme="minorHAnsi"/>
          <w:b/>
          <w:sz w:val="24"/>
          <w:szCs w:val="24"/>
        </w:rPr>
      </w:pPr>
      <w:r w:rsidRPr="00081A7C">
        <w:rPr>
          <w:rFonts w:cstheme="minorHAnsi"/>
          <w:b/>
          <w:sz w:val="24"/>
          <w:szCs w:val="24"/>
        </w:rPr>
        <w:t>Interim follow-up process with respect to the European Commission against Racism and Intolerance’s (ECRI) report on Finland (fifth monitoring cycle)</w:t>
      </w:r>
    </w:p>
    <w:p w14:paraId="79A3E972" w14:textId="203FA677" w:rsidR="00081A7C" w:rsidRPr="00081A7C" w:rsidRDefault="00081A7C" w:rsidP="00081A7C">
      <w:pPr>
        <w:pStyle w:val="ListParagraph"/>
        <w:ind w:left="360"/>
        <w:jc w:val="center"/>
        <w:rPr>
          <w:rFonts w:cstheme="minorHAnsi"/>
          <w:b/>
          <w:sz w:val="24"/>
          <w:szCs w:val="24"/>
        </w:rPr>
      </w:pPr>
    </w:p>
    <w:p w14:paraId="44E1D402" w14:textId="6CCC8A3A" w:rsidR="00081A7C" w:rsidRPr="00081A7C" w:rsidRDefault="00081A7C" w:rsidP="00081A7C">
      <w:pPr>
        <w:pStyle w:val="ListParagraph"/>
        <w:ind w:left="360"/>
        <w:jc w:val="center"/>
        <w:rPr>
          <w:rFonts w:cstheme="minorHAnsi"/>
          <w:b/>
          <w:sz w:val="24"/>
          <w:szCs w:val="24"/>
        </w:rPr>
      </w:pPr>
      <w:r w:rsidRPr="00081A7C">
        <w:rPr>
          <w:rFonts w:cstheme="minorHAnsi"/>
          <w:b/>
          <w:sz w:val="24"/>
          <w:szCs w:val="24"/>
        </w:rPr>
        <w:t>Follow-up given by the Government of Finland</w:t>
      </w:r>
    </w:p>
    <w:p w14:paraId="7DDFC6AE" w14:textId="19811FAF" w:rsidR="00081A7C" w:rsidRPr="00081A7C" w:rsidRDefault="00081A7C" w:rsidP="00081A7C">
      <w:pPr>
        <w:pStyle w:val="ListParagraph"/>
        <w:ind w:left="360"/>
        <w:jc w:val="center"/>
        <w:rPr>
          <w:rFonts w:cstheme="minorHAnsi"/>
          <w:b/>
          <w:sz w:val="24"/>
          <w:szCs w:val="24"/>
        </w:rPr>
      </w:pPr>
      <w:r w:rsidRPr="00081A7C">
        <w:rPr>
          <w:rFonts w:cstheme="minorHAnsi"/>
          <w:b/>
          <w:sz w:val="24"/>
          <w:szCs w:val="24"/>
        </w:rPr>
        <w:t>1 September 2021</w:t>
      </w:r>
    </w:p>
    <w:p w14:paraId="677E691F" w14:textId="5F4A8B4D" w:rsidR="001A408A" w:rsidRDefault="001A408A" w:rsidP="00483BA8">
      <w:pPr>
        <w:spacing w:after="0" w:line="240" w:lineRule="auto"/>
        <w:rPr>
          <w:rFonts w:cstheme="minorHAnsi"/>
          <w:sz w:val="24"/>
          <w:szCs w:val="24"/>
        </w:rPr>
      </w:pPr>
    </w:p>
    <w:p w14:paraId="49CF03DB" w14:textId="77777777" w:rsidR="00483BA8" w:rsidRPr="00483BA8" w:rsidRDefault="00483BA8" w:rsidP="00483BA8">
      <w:pPr>
        <w:spacing w:after="0" w:line="240" w:lineRule="auto"/>
        <w:rPr>
          <w:rFonts w:cstheme="minorHAnsi"/>
          <w:sz w:val="24"/>
          <w:szCs w:val="24"/>
        </w:rPr>
      </w:pPr>
    </w:p>
    <w:p w14:paraId="13B3C7F5" w14:textId="77777777" w:rsidR="00081A7C" w:rsidRDefault="00081A7C" w:rsidP="00483BA8">
      <w:pPr>
        <w:spacing w:after="0" w:line="240" w:lineRule="auto"/>
        <w:jc w:val="both"/>
        <w:rPr>
          <w:rFonts w:cstheme="minorHAnsi"/>
          <w:b/>
          <w:sz w:val="24"/>
          <w:szCs w:val="24"/>
        </w:rPr>
      </w:pPr>
      <w:proofErr w:type="gramStart"/>
      <w:r>
        <w:rPr>
          <w:rFonts w:cstheme="minorHAnsi"/>
          <w:b/>
          <w:sz w:val="24"/>
          <w:szCs w:val="24"/>
        </w:rPr>
        <w:t xml:space="preserve">1. </w:t>
      </w:r>
      <w:r w:rsidR="00B7363A" w:rsidRPr="00081A7C">
        <w:rPr>
          <w:rFonts w:cstheme="minorHAnsi"/>
          <w:b/>
          <w:sz w:val="24"/>
          <w:szCs w:val="24"/>
        </w:rPr>
        <w:t>ECRI recommends that the National Non-Discrimination and Equality Tribunal should be empowered to deal with complaints of discrimination in employment on all prohibited grounds and not solely on the grounds of gender and gender identity; that all the Tribunal should be empowered to grant compensation to victims of discrimination; and that the resources of the Tribunal should be substantially increased to enable it to fully carry out its mandate.</w:t>
      </w:r>
      <w:proofErr w:type="gramEnd"/>
      <w:r w:rsidR="00B7363A" w:rsidRPr="00081A7C">
        <w:rPr>
          <w:rFonts w:cstheme="minorHAnsi"/>
          <w:b/>
          <w:sz w:val="24"/>
          <w:szCs w:val="24"/>
        </w:rPr>
        <w:t xml:space="preserve"> </w:t>
      </w:r>
    </w:p>
    <w:p w14:paraId="7DA4788F" w14:textId="77777777" w:rsidR="00081A7C" w:rsidRDefault="00081A7C" w:rsidP="00483BA8">
      <w:pPr>
        <w:spacing w:after="0" w:line="240" w:lineRule="auto"/>
        <w:jc w:val="both"/>
        <w:rPr>
          <w:rFonts w:cstheme="minorHAnsi"/>
          <w:b/>
          <w:sz w:val="24"/>
          <w:szCs w:val="24"/>
        </w:rPr>
      </w:pPr>
    </w:p>
    <w:p w14:paraId="002F1BD0" w14:textId="77777777" w:rsidR="00081A7C" w:rsidRDefault="00CC3D7B" w:rsidP="00483BA8">
      <w:pPr>
        <w:spacing w:after="0" w:line="240" w:lineRule="auto"/>
        <w:jc w:val="both"/>
        <w:rPr>
          <w:rFonts w:cstheme="minorHAnsi"/>
          <w:b/>
          <w:sz w:val="24"/>
          <w:szCs w:val="24"/>
        </w:rPr>
      </w:pPr>
      <w:r w:rsidRPr="00081A7C">
        <w:rPr>
          <w:rFonts w:cstheme="minorHAnsi"/>
          <w:sz w:val="24"/>
          <w:szCs w:val="24"/>
        </w:rPr>
        <w:t xml:space="preserve">The </w:t>
      </w:r>
      <w:r w:rsidR="004B5863" w:rsidRPr="00081A7C">
        <w:rPr>
          <w:rFonts w:cstheme="minorHAnsi"/>
          <w:sz w:val="24"/>
          <w:szCs w:val="24"/>
        </w:rPr>
        <w:t>revise</w:t>
      </w:r>
      <w:r w:rsidRPr="00081A7C">
        <w:rPr>
          <w:rFonts w:cstheme="minorHAnsi"/>
          <w:sz w:val="24"/>
          <w:szCs w:val="24"/>
        </w:rPr>
        <w:t xml:space="preserve">d Non-discrimination Act (1325/2014) entered into force on 1 January 2015, after which it </w:t>
      </w:r>
      <w:proofErr w:type="gramStart"/>
      <w:r w:rsidRPr="00081A7C">
        <w:rPr>
          <w:rFonts w:cstheme="minorHAnsi"/>
          <w:sz w:val="24"/>
          <w:szCs w:val="24"/>
        </w:rPr>
        <w:t>has not been amended</w:t>
      </w:r>
      <w:proofErr w:type="gramEnd"/>
      <w:r w:rsidRPr="00081A7C">
        <w:rPr>
          <w:rFonts w:cstheme="minorHAnsi"/>
          <w:sz w:val="24"/>
          <w:szCs w:val="24"/>
        </w:rPr>
        <w:t xml:space="preserve">. According to the Act, no one may be discriminated against </w:t>
      </w:r>
      <w:proofErr w:type="gramStart"/>
      <w:r w:rsidRPr="00081A7C">
        <w:rPr>
          <w:rFonts w:cstheme="minorHAnsi"/>
          <w:sz w:val="24"/>
          <w:szCs w:val="24"/>
        </w:rPr>
        <w:t>on the basis of</w:t>
      </w:r>
      <w:proofErr w:type="gramEnd"/>
      <w:r w:rsidRPr="00081A7C">
        <w:rPr>
          <w:rFonts w:cstheme="minorHAnsi"/>
          <w:sz w:val="24"/>
          <w:szCs w:val="24"/>
        </w:rPr>
        <w:t xml:space="preserve"> age, origin, nationality, language, religion, belief, opinion, political activity, trade union activity, family relationships, state of health, disability, sexual orientation or other personal characteristics. </w:t>
      </w:r>
    </w:p>
    <w:p w14:paraId="0FEC3153" w14:textId="77777777" w:rsidR="00081A7C" w:rsidRDefault="00081A7C" w:rsidP="00483BA8">
      <w:pPr>
        <w:spacing w:after="0" w:line="240" w:lineRule="auto"/>
        <w:jc w:val="both"/>
        <w:rPr>
          <w:rFonts w:cstheme="minorHAnsi"/>
          <w:b/>
          <w:sz w:val="24"/>
          <w:szCs w:val="24"/>
        </w:rPr>
      </w:pPr>
    </w:p>
    <w:p w14:paraId="3E44C108" w14:textId="77777777" w:rsidR="00081A7C" w:rsidRDefault="00CC3D7B" w:rsidP="00483BA8">
      <w:pPr>
        <w:spacing w:after="0" w:line="240" w:lineRule="auto"/>
        <w:jc w:val="both"/>
        <w:rPr>
          <w:rFonts w:cstheme="minorHAnsi"/>
          <w:b/>
          <w:sz w:val="24"/>
          <w:szCs w:val="24"/>
        </w:rPr>
      </w:pPr>
      <w:r w:rsidRPr="00081A7C">
        <w:rPr>
          <w:rFonts w:cstheme="minorHAnsi"/>
          <w:sz w:val="24"/>
          <w:szCs w:val="24"/>
        </w:rPr>
        <w:t xml:space="preserve">Compliance with the Non-discrimination Act in </w:t>
      </w:r>
      <w:proofErr w:type="spellStart"/>
      <w:r w:rsidR="008B6065" w:rsidRPr="00081A7C">
        <w:rPr>
          <w:rFonts w:cstheme="minorHAnsi"/>
          <w:sz w:val="24"/>
          <w:szCs w:val="24"/>
        </w:rPr>
        <w:t>labour</w:t>
      </w:r>
      <w:proofErr w:type="spellEnd"/>
      <w:r w:rsidR="008B6065" w:rsidRPr="00081A7C">
        <w:rPr>
          <w:rFonts w:cstheme="minorHAnsi"/>
          <w:sz w:val="24"/>
          <w:szCs w:val="24"/>
        </w:rPr>
        <w:t xml:space="preserve"> relations</w:t>
      </w:r>
      <w:r w:rsidRPr="00081A7C">
        <w:rPr>
          <w:rFonts w:cstheme="minorHAnsi"/>
          <w:sz w:val="24"/>
          <w:szCs w:val="24"/>
        </w:rPr>
        <w:t xml:space="preserve"> </w:t>
      </w:r>
      <w:proofErr w:type="gramStart"/>
      <w:r w:rsidRPr="00081A7C">
        <w:rPr>
          <w:rFonts w:cstheme="minorHAnsi"/>
          <w:sz w:val="24"/>
          <w:szCs w:val="24"/>
        </w:rPr>
        <w:t xml:space="preserve">is </w:t>
      </w:r>
      <w:r w:rsidR="008B6065" w:rsidRPr="00081A7C">
        <w:rPr>
          <w:rFonts w:cstheme="minorHAnsi"/>
          <w:sz w:val="24"/>
          <w:szCs w:val="24"/>
        </w:rPr>
        <w:t>supervised</w:t>
      </w:r>
      <w:proofErr w:type="gramEnd"/>
      <w:r w:rsidR="008B6065" w:rsidRPr="00081A7C">
        <w:rPr>
          <w:rFonts w:cstheme="minorHAnsi"/>
          <w:sz w:val="24"/>
          <w:szCs w:val="24"/>
        </w:rPr>
        <w:t xml:space="preserve"> </w:t>
      </w:r>
      <w:r w:rsidRPr="00081A7C">
        <w:rPr>
          <w:rFonts w:cstheme="minorHAnsi"/>
          <w:sz w:val="24"/>
          <w:szCs w:val="24"/>
        </w:rPr>
        <w:t xml:space="preserve">by occupational safety and health authorities in accordance with the provisions of the Non-discrimination Act as well as the Act on Occupational Safety and Health Enforcement and Cooperation on </w:t>
      </w:r>
      <w:r w:rsidR="00B26307" w:rsidRPr="00081A7C">
        <w:rPr>
          <w:rFonts w:cstheme="minorHAnsi"/>
          <w:sz w:val="24"/>
          <w:szCs w:val="24"/>
        </w:rPr>
        <w:t xml:space="preserve">Occupational </w:t>
      </w:r>
      <w:r w:rsidRPr="00081A7C">
        <w:rPr>
          <w:rFonts w:cstheme="minorHAnsi"/>
          <w:sz w:val="24"/>
          <w:szCs w:val="24"/>
        </w:rPr>
        <w:t xml:space="preserve">Safety and Health at Workplaces (44/2006). According to the Non-discrimination Act, the Occupational Safety and Health Authority shall take action provided for in the Act on Occupational Safety and Health Enforcement and Cooperation on </w:t>
      </w:r>
      <w:r w:rsidR="00B26307" w:rsidRPr="00081A7C">
        <w:rPr>
          <w:rFonts w:cstheme="minorHAnsi"/>
          <w:sz w:val="24"/>
          <w:szCs w:val="24"/>
        </w:rPr>
        <w:t xml:space="preserve">Occupational </w:t>
      </w:r>
      <w:r w:rsidRPr="00081A7C">
        <w:rPr>
          <w:rFonts w:cstheme="minorHAnsi"/>
          <w:sz w:val="24"/>
          <w:szCs w:val="24"/>
        </w:rPr>
        <w:t xml:space="preserve">Safety and Health at Workplaces that is required </w:t>
      </w:r>
      <w:proofErr w:type="gramStart"/>
      <w:r w:rsidRPr="00081A7C">
        <w:rPr>
          <w:rFonts w:cstheme="minorHAnsi"/>
          <w:sz w:val="24"/>
          <w:szCs w:val="24"/>
        </w:rPr>
        <w:t>as a result</w:t>
      </w:r>
      <w:proofErr w:type="gramEnd"/>
      <w:r w:rsidRPr="00081A7C">
        <w:rPr>
          <w:rFonts w:cstheme="minorHAnsi"/>
          <w:sz w:val="24"/>
          <w:szCs w:val="24"/>
        </w:rPr>
        <w:t xml:space="preserve"> of a complaint about discrimination made in an individual case. </w:t>
      </w:r>
    </w:p>
    <w:p w14:paraId="28792D99" w14:textId="77777777" w:rsidR="00081A7C" w:rsidRDefault="00081A7C" w:rsidP="00483BA8">
      <w:pPr>
        <w:spacing w:after="0" w:line="240" w:lineRule="auto"/>
        <w:jc w:val="both"/>
        <w:rPr>
          <w:rFonts w:cstheme="minorHAnsi"/>
          <w:b/>
          <w:sz w:val="24"/>
          <w:szCs w:val="24"/>
        </w:rPr>
      </w:pPr>
    </w:p>
    <w:p w14:paraId="4523C06A" w14:textId="77777777" w:rsidR="00081A7C" w:rsidRDefault="00CC3D7B" w:rsidP="00483BA8">
      <w:pPr>
        <w:spacing w:after="0" w:line="240" w:lineRule="auto"/>
        <w:jc w:val="both"/>
        <w:rPr>
          <w:rFonts w:cstheme="minorHAnsi"/>
          <w:sz w:val="24"/>
          <w:szCs w:val="24"/>
        </w:rPr>
      </w:pPr>
      <w:r w:rsidRPr="00081A7C">
        <w:rPr>
          <w:rFonts w:cstheme="minorHAnsi"/>
          <w:sz w:val="24"/>
          <w:szCs w:val="24"/>
        </w:rPr>
        <w:t xml:space="preserve">Supervising compliance with the Non-discrimination Act is not part of the National Non-Discrimination and Equality Tribunal’s powers. The Tribunal may, in other matters than those pertaining to the authority of the Occupational Safety and Health Authority, forbid the party in </w:t>
      </w:r>
      <w:r w:rsidRPr="00081A7C">
        <w:rPr>
          <w:rFonts w:cstheme="minorHAnsi"/>
          <w:sz w:val="24"/>
          <w:szCs w:val="24"/>
        </w:rPr>
        <w:lastRenderedPageBreak/>
        <w:t xml:space="preserve">question from continuing or repeating the discrimination or </w:t>
      </w:r>
      <w:proofErr w:type="spellStart"/>
      <w:r w:rsidRPr="00081A7C">
        <w:rPr>
          <w:rFonts w:cstheme="minorHAnsi"/>
          <w:sz w:val="24"/>
          <w:szCs w:val="24"/>
        </w:rPr>
        <w:t>victimisation</w:t>
      </w:r>
      <w:proofErr w:type="spellEnd"/>
      <w:r w:rsidRPr="00081A7C">
        <w:rPr>
          <w:rFonts w:cstheme="minorHAnsi"/>
          <w:sz w:val="24"/>
          <w:szCs w:val="24"/>
        </w:rPr>
        <w:t>, or order the person to take action within a reasonable time to fulfil the obligations provided for i</w:t>
      </w:r>
      <w:r w:rsidR="00081A7C">
        <w:rPr>
          <w:rFonts w:cstheme="minorHAnsi"/>
          <w:sz w:val="24"/>
          <w:szCs w:val="24"/>
        </w:rPr>
        <w:t>n the Non-discrimination Act.</w:t>
      </w:r>
    </w:p>
    <w:p w14:paraId="246CC937" w14:textId="77777777" w:rsidR="00081A7C" w:rsidRDefault="00081A7C" w:rsidP="00483BA8">
      <w:pPr>
        <w:spacing w:after="0" w:line="240" w:lineRule="auto"/>
        <w:jc w:val="both"/>
        <w:rPr>
          <w:rFonts w:cstheme="minorHAnsi"/>
          <w:sz w:val="24"/>
          <w:szCs w:val="24"/>
        </w:rPr>
      </w:pPr>
    </w:p>
    <w:p w14:paraId="59C092D1" w14:textId="77777777" w:rsidR="00081A7C" w:rsidRDefault="00CC3D7B" w:rsidP="00483BA8">
      <w:pPr>
        <w:spacing w:after="0" w:line="240" w:lineRule="auto"/>
        <w:jc w:val="both"/>
        <w:rPr>
          <w:rFonts w:cstheme="minorHAnsi"/>
          <w:b/>
          <w:sz w:val="24"/>
          <w:szCs w:val="24"/>
        </w:rPr>
      </w:pPr>
      <w:r w:rsidRPr="00081A7C">
        <w:rPr>
          <w:rFonts w:cstheme="minorHAnsi"/>
          <w:sz w:val="24"/>
          <w:szCs w:val="24"/>
        </w:rPr>
        <w:t xml:space="preserve">The Tribunal cannot </w:t>
      </w:r>
      <w:r w:rsidR="00314E96" w:rsidRPr="00081A7C">
        <w:rPr>
          <w:rFonts w:cstheme="minorHAnsi"/>
          <w:sz w:val="24"/>
          <w:szCs w:val="24"/>
        </w:rPr>
        <w:t>order</w:t>
      </w:r>
      <w:r w:rsidRPr="00081A7C">
        <w:rPr>
          <w:rFonts w:cstheme="minorHAnsi"/>
          <w:sz w:val="24"/>
          <w:szCs w:val="24"/>
        </w:rPr>
        <w:t xml:space="preserve"> compensation to </w:t>
      </w:r>
      <w:proofErr w:type="gramStart"/>
      <w:r w:rsidRPr="00081A7C">
        <w:rPr>
          <w:rFonts w:cstheme="minorHAnsi"/>
          <w:sz w:val="24"/>
          <w:szCs w:val="24"/>
        </w:rPr>
        <w:t>be paid</w:t>
      </w:r>
      <w:proofErr w:type="gramEnd"/>
      <w:r w:rsidRPr="00081A7C">
        <w:rPr>
          <w:rFonts w:cstheme="minorHAnsi"/>
          <w:sz w:val="24"/>
          <w:szCs w:val="24"/>
        </w:rPr>
        <w:t xml:space="preserve"> to victims of discrimination. </w:t>
      </w:r>
    </w:p>
    <w:p w14:paraId="1CA27A36" w14:textId="77777777" w:rsidR="00081A7C" w:rsidRDefault="00081A7C" w:rsidP="00483BA8">
      <w:pPr>
        <w:spacing w:after="0" w:line="240" w:lineRule="auto"/>
        <w:jc w:val="both"/>
        <w:rPr>
          <w:rFonts w:cstheme="minorHAnsi"/>
          <w:b/>
          <w:sz w:val="24"/>
          <w:szCs w:val="24"/>
        </w:rPr>
      </w:pPr>
    </w:p>
    <w:p w14:paraId="4E247F7C" w14:textId="7653ACC6" w:rsidR="00081A7C" w:rsidRDefault="00B2418D" w:rsidP="00483BA8">
      <w:pPr>
        <w:spacing w:after="0" w:line="240" w:lineRule="auto"/>
        <w:jc w:val="both"/>
        <w:rPr>
          <w:rFonts w:cstheme="minorHAnsi"/>
          <w:b/>
          <w:sz w:val="24"/>
          <w:szCs w:val="24"/>
        </w:rPr>
      </w:pPr>
      <w:r w:rsidRPr="00081A7C">
        <w:rPr>
          <w:rFonts w:cstheme="minorHAnsi"/>
          <w:sz w:val="24"/>
          <w:szCs w:val="24"/>
        </w:rPr>
        <w:t xml:space="preserve">A working group for the partial reform of the Non-discrimination Act and its subdivision focusing on discrimination in employment </w:t>
      </w:r>
      <w:proofErr w:type="gramStart"/>
      <w:r w:rsidRPr="00081A7C">
        <w:rPr>
          <w:rFonts w:cstheme="minorHAnsi"/>
          <w:sz w:val="24"/>
          <w:szCs w:val="24"/>
        </w:rPr>
        <w:t>were appointed</w:t>
      </w:r>
      <w:proofErr w:type="gramEnd"/>
      <w:r w:rsidRPr="00081A7C">
        <w:rPr>
          <w:rFonts w:cstheme="minorHAnsi"/>
          <w:sz w:val="24"/>
          <w:szCs w:val="24"/>
        </w:rPr>
        <w:t xml:space="preserve"> on 4 June 2021, and their term ranges from 10 June 2021 to 31 May 2022. Their work </w:t>
      </w:r>
      <w:proofErr w:type="gramStart"/>
      <w:r w:rsidRPr="00081A7C">
        <w:rPr>
          <w:rFonts w:cstheme="minorHAnsi"/>
          <w:sz w:val="24"/>
          <w:szCs w:val="24"/>
        </w:rPr>
        <w:t>is related</w:t>
      </w:r>
      <w:proofErr w:type="gramEnd"/>
      <w:r w:rsidRPr="00081A7C">
        <w:rPr>
          <w:rFonts w:cstheme="minorHAnsi"/>
          <w:sz w:val="24"/>
          <w:szCs w:val="24"/>
        </w:rPr>
        <w:t xml:space="preserve"> to the Government </w:t>
      </w:r>
      <w:proofErr w:type="spellStart"/>
      <w:r w:rsidRPr="00081A7C">
        <w:rPr>
          <w:rFonts w:cstheme="minorHAnsi"/>
          <w:sz w:val="24"/>
          <w:szCs w:val="24"/>
        </w:rPr>
        <w:t>Programme</w:t>
      </w:r>
      <w:proofErr w:type="spellEnd"/>
      <w:r w:rsidR="009602C8">
        <w:rPr>
          <w:rFonts w:cstheme="minorHAnsi"/>
          <w:sz w:val="24"/>
          <w:szCs w:val="24"/>
        </w:rPr>
        <w:t xml:space="preserve"> of Prime Minister Sanna Marin</w:t>
      </w:r>
      <w:r w:rsidRPr="00081A7C">
        <w:rPr>
          <w:rFonts w:cstheme="minorHAnsi"/>
          <w:sz w:val="24"/>
          <w:szCs w:val="24"/>
        </w:rPr>
        <w:t xml:space="preserve">, according to which “the Non-discrimination Act will be partially reformed.” The working group’s task is to identify and assess any problems and necessary changes in the effectiveness of the Non-discrimination Act and other regulation related to it.  </w:t>
      </w:r>
    </w:p>
    <w:p w14:paraId="301E8332" w14:textId="77777777" w:rsidR="00081A7C" w:rsidRDefault="00081A7C" w:rsidP="00483BA8">
      <w:pPr>
        <w:spacing w:after="0" w:line="240" w:lineRule="auto"/>
        <w:jc w:val="both"/>
        <w:rPr>
          <w:rFonts w:cstheme="minorHAnsi"/>
          <w:b/>
          <w:sz w:val="24"/>
          <w:szCs w:val="24"/>
        </w:rPr>
      </w:pPr>
    </w:p>
    <w:p w14:paraId="0EDE014A" w14:textId="693BA464" w:rsidR="00B2418D" w:rsidRPr="00081A7C" w:rsidRDefault="00B2418D" w:rsidP="00483BA8">
      <w:pPr>
        <w:spacing w:after="0" w:line="240" w:lineRule="auto"/>
        <w:jc w:val="both"/>
        <w:rPr>
          <w:rFonts w:cstheme="minorHAnsi"/>
          <w:b/>
          <w:sz w:val="24"/>
          <w:szCs w:val="24"/>
        </w:rPr>
      </w:pPr>
      <w:r w:rsidRPr="00081A7C">
        <w:rPr>
          <w:rFonts w:cstheme="minorHAnsi"/>
          <w:sz w:val="24"/>
          <w:szCs w:val="24"/>
        </w:rPr>
        <w:t xml:space="preserve">The subdivision is responsible </w:t>
      </w:r>
      <w:proofErr w:type="gramStart"/>
      <w:r w:rsidRPr="00081A7C">
        <w:rPr>
          <w:rFonts w:cstheme="minorHAnsi"/>
          <w:sz w:val="24"/>
          <w:szCs w:val="24"/>
        </w:rPr>
        <w:t>for</w:t>
      </w:r>
      <w:proofErr w:type="gramEnd"/>
      <w:r w:rsidRPr="00081A7C">
        <w:rPr>
          <w:rFonts w:cstheme="minorHAnsi"/>
          <w:sz w:val="24"/>
          <w:szCs w:val="24"/>
        </w:rPr>
        <w:t xml:space="preserve">:  </w:t>
      </w:r>
    </w:p>
    <w:p w14:paraId="75E42914" w14:textId="77777777" w:rsidR="00B2418D" w:rsidRPr="00081A7C" w:rsidRDefault="00B2418D" w:rsidP="00483BA8">
      <w:pPr>
        <w:spacing w:before="120" w:after="120" w:line="240" w:lineRule="auto"/>
        <w:ind w:left="357"/>
        <w:jc w:val="both"/>
        <w:rPr>
          <w:rFonts w:cstheme="minorHAnsi"/>
          <w:sz w:val="24"/>
          <w:szCs w:val="24"/>
        </w:rPr>
      </w:pPr>
      <w:r w:rsidRPr="00081A7C">
        <w:rPr>
          <w:rFonts w:cstheme="minorHAnsi"/>
          <w:sz w:val="24"/>
          <w:szCs w:val="24"/>
        </w:rPr>
        <w:t xml:space="preserve">1) </w:t>
      </w:r>
      <w:proofErr w:type="gramStart"/>
      <w:r w:rsidRPr="00081A7C">
        <w:rPr>
          <w:rFonts w:cstheme="minorHAnsi"/>
          <w:sz w:val="24"/>
          <w:szCs w:val="24"/>
        </w:rPr>
        <w:t>assessing</w:t>
      </w:r>
      <w:proofErr w:type="gramEnd"/>
      <w:r w:rsidRPr="00081A7C">
        <w:rPr>
          <w:rFonts w:cstheme="minorHAnsi"/>
          <w:sz w:val="24"/>
          <w:szCs w:val="24"/>
        </w:rPr>
        <w:t xml:space="preserve"> the sufficiency of the Occupational Safety and Health Authority’s tasks and powers, and any changes needed in the supervision of the Non-discrimination Act; </w:t>
      </w:r>
    </w:p>
    <w:p w14:paraId="4D08E31E" w14:textId="000164DE" w:rsidR="00B2418D" w:rsidRPr="00081A7C" w:rsidRDefault="00B2418D" w:rsidP="00483BA8">
      <w:pPr>
        <w:spacing w:before="120" w:after="120" w:line="240" w:lineRule="auto"/>
        <w:ind w:left="357"/>
        <w:jc w:val="both"/>
        <w:rPr>
          <w:rFonts w:cstheme="minorHAnsi"/>
          <w:sz w:val="24"/>
          <w:szCs w:val="24"/>
        </w:rPr>
      </w:pPr>
      <w:r w:rsidRPr="00081A7C">
        <w:rPr>
          <w:rFonts w:cstheme="minorHAnsi"/>
          <w:sz w:val="24"/>
          <w:szCs w:val="24"/>
        </w:rPr>
        <w:t xml:space="preserve">2) assessing the possibility to expand the Non-Discrimination Ombudsman’s powers in questions related to discrimination in employment so that its powers would supplement those of the Regional State Administrative Agencies and strengthen legal protection and its availability; and </w:t>
      </w:r>
    </w:p>
    <w:p w14:paraId="68FDE3AB" w14:textId="77777777" w:rsidR="00B2418D" w:rsidRPr="00081A7C" w:rsidRDefault="00B2418D" w:rsidP="009602C8">
      <w:pPr>
        <w:spacing w:before="120" w:after="0" w:line="240" w:lineRule="auto"/>
        <w:ind w:left="357"/>
        <w:jc w:val="both"/>
        <w:rPr>
          <w:rFonts w:cstheme="minorHAnsi"/>
          <w:sz w:val="24"/>
          <w:szCs w:val="24"/>
        </w:rPr>
      </w:pPr>
      <w:r w:rsidRPr="00081A7C">
        <w:rPr>
          <w:rFonts w:cstheme="minorHAnsi"/>
          <w:sz w:val="24"/>
          <w:szCs w:val="24"/>
        </w:rPr>
        <w:t xml:space="preserve">3) </w:t>
      </w:r>
      <w:proofErr w:type="gramStart"/>
      <w:r w:rsidRPr="00081A7C">
        <w:rPr>
          <w:rFonts w:cstheme="minorHAnsi"/>
          <w:sz w:val="24"/>
          <w:szCs w:val="24"/>
        </w:rPr>
        <w:t>assessing</w:t>
      </w:r>
      <w:proofErr w:type="gramEnd"/>
      <w:r w:rsidRPr="00081A7C">
        <w:rPr>
          <w:rFonts w:cstheme="minorHAnsi"/>
          <w:sz w:val="24"/>
          <w:szCs w:val="24"/>
        </w:rPr>
        <w:t xml:space="preserve"> the powers of the National Non-Discrimination and Equality Tribunal in matters related to discrimination in employment. </w:t>
      </w:r>
    </w:p>
    <w:p w14:paraId="4C902C3D" w14:textId="77777777" w:rsidR="00483BA8" w:rsidRDefault="00483BA8" w:rsidP="00483BA8">
      <w:pPr>
        <w:spacing w:after="0" w:line="240" w:lineRule="auto"/>
        <w:rPr>
          <w:rFonts w:cstheme="minorHAnsi"/>
          <w:sz w:val="24"/>
          <w:szCs w:val="24"/>
        </w:rPr>
      </w:pPr>
    </w:p>
    <w:p w14:paraId="6F13F4EE" w14:textId="6575B558" w:rsidR="00B2418D" w:rsidRDefault="00B2418D" w:rsidP="00483BA8">
      <w:pPr>
        <w:spacing w:after="0" w:line="240" w:lineRule="auto"/>
        <w:jc w:val="both"/>
        <w:rPr>
          <w:rFonts w:cstheme="minorHAnsi"/>
          <w:sz w:val="24"/>
          <w:szCs w:val="24"/>
        </w:rPr>
      </w:pPr>
      <w:r w:rsidRPr="00081A7C">
        <w:rPr>
          <w:rFonts w:cstheme="minorHAnsi"/>
          <w:sz w:val="24"/>
          <w:szCs w:val="24"/>
        </w:rPr>
        <w:t xml:space="preserve">One of the working group’s tasks is to assess the possibility of the National Non-Discrimination and Equality Tribunal to grant compensation. If the Tribunal’s tasks are changed or extended, its resources </w:t>
      </w:r>
      <w:proofErr w:type="gramStart"/>
      <w:r w:rsidRPr="00081A7C">
        <w:rPr>
          <w:rFonts w:cstheme="minorHAnsi"/>
          <w:sz w:val="24"/>
          <w:szCs w:val="24"/>
        </w:rPr>
        <w:t>must also be assessed</w:t>
      </w:r>
      <w:proofErr w:type="gramEnd"/>
      <w:r w:rsidRPr="00081A7C">
        <w:rPr>
          <w:rFonts w:cstheme="minorHAnsi"/>
          <w:sz w:val="24"/>
          <w:szCs w:val="24"/>
        </w:rPr>
        <w:t xml:space="preserve">. </w:t>
      </w:r>
    </w:p>
    <w:p w14:paraId="4926DD4E" w14:textId="24EF8388" w:rsidR="00081A7C" w:rsidRDefault="00081A7C" w:rsidP="00483BA8">
      <w:pPr>
        <w:spacing w:after="0" w:line="240" w:lineRule="auto"/>
        <w:rPr>
          <w:rFonts w:cstheme="minorHAnsi"/>
          <w:sz w:val="24"/>
          <w:szCs w:val="24"/>
        </w:rPr>
      </w:pPr>
    </w:p>
    <w:p w14:paraId="0BE5E71A" w14:textId="77777777" w:rsidR="00483BA8" w:rsidRDefault="00B2418D" w:rsidP="00483BA8">
      <w:pPr>
        <w:spacing w:after="0" w:line="240" w:lineRule="auto"/>
        <w:jc w:val="both"/>
        <w:rPr>
          <w:rFonts w:cstheme="minorHAnsi"/>
          <w:sz w:val="24"/>
          <w:szCs w:val="24"/>
        </w:rPr>
      </w:pPr>
      <w:r w:rsidRPr="00081A7C">
        <w:rPr>
          <w:rFonts w:cstheme="minorHAnsi"/>
          <w:sz w:val="24"/>
          <w:szCs w:val="24"/>
        </w:rPr>
        <w:t xml:space="preserve">ECRI has paid attention to the sufficiency of the number of personnel in the National Non-Discrimination and Equality Tribunal, considering that its </w:t>
      </w:r>
      <w:r w:rsidR="0070515C" w:rsidRPr="00081A7C">
        <w:rPr>
          <w:rFonts w:cstheme="minorHAnsi"/>
          <w:sz w:val="24"/>
          <w:szCs w:val="24"/>
        </w:rPr>
        <w:t>workload nearly doubled from 70 </w:t>
      </w:r>
      <w:r w:rsidRPr="00081A7C">
        <w:rPr>
          <w:rFonts w:cstheme="minorHAnsi"/>
          <w:sz w:val="24"/>
          <w:szCs w:val="24"/>
        </w:rPr>
        <w:t xml:space="preserve">cases in 2017 going into 2018. The Ministry of Justice will be monitoring the development of the Tribunal’s activities, the number of petitions and processing times, and it will assess the need for resources on their basis. </w:t>
      </w:r>
    </w:p>
    <w:p w14:paraId="56331F9C" w14:textId="77777777" w:rsidR="00483BA8" w:rsidRDefault="00483BA8" w:rsidP="00483BA8">
      <w:pPr>
        <w:spacing w:after="0" w:line="240" w:lineRule="auto"/>
        <w:jc w:val="both"/>
        <w:rPr>
          <w:rFonts w:cstheme="minorHAnsi"/>
          <w:sz w:val="24"/>
          <w:szCs w:val="24"/>
        </w:rPr>
      </w:pPr>
    </w:p>
    <w:p w14:paraId="638D2C0A" w14:textId="77777777" w:rsidR="00483BA8" w:rsidRDefault="00B2418D" w:rsidP="00483BA8">
      <w:pPr>
        <w:spacing w:after="0" w:line="240" w:lineRule="auto"/>
        <w:jc w:val="both"/>
        <w:rPr>
          <w:rFonts w:cstheme="minorHAnsi"/>
          <w:sz w:val="24"/>
          <w:szCs w:val="24"/>
        </w:rPr>
      </w:pPr>
      <w:r w:rsidRPr="00081A7C">
        <w:rPr>
          <w:rFonts w:cstheme="minorHAnsi"/>
          <w:sz w:val="24"/>
          <w:szCs w:val="24"/>
        </w:rPr>
        <w:t xml:space="preserve">In 2018, more cases than normal were submitted to the National Non-Discrimination and Equality Tribunal, </w:t>
      </w:r>
      <w:proofErr w:type="gramStart"/>
      <w:r w:rsidRPr="00081A7C">
        <w:rPr>
          <w:rFonts w:cstheme="minorHAnsi"/>
          <w:sz w:val="24"/>
          <w:szCs w:val="24"/>
        </w:rPr>
        <w:t>as a result</w:t>
      </w:r>
      <w:proofErr w:type="gramEnd"/>
      <w:r w:rsidRPr="00081A7C">
        <w:rPr>
          <w:rFonts w:cstheme="minorHAnsi"/>
          <w:sz w:val="24"/>
          <w:szCs w:val="24"/>
        </w:rPr>
        <w:t xml:space="preserve"> of which the work of the Tribunal became congested. To improve the situation, new part-time </w:t>
      </w:r>
      <w:proofErr w:type="spellStart"/>
      <w:r w:rsidRPr="00081A7C">
        <w:rPr>
          <w:rFonts w:cstheme="minorHAnsi"/>
          <w:sz w:val="24"/>
          <w:szCs w:val="24"/>
        </w:rPr>
        <w:t>referendaries</w:t>
      </w:r>
      <w:proofErr w:type="spellEnd"/>
      <w:r w:rsidRPr="00081A7C">
        <w:rPr>
          <w:rFonts w:cstheme="minorHAnsi"/>
          <w:sz w:val="24"/>
          <w:szCs w:val="24"/>
        </w:rPr>
        <w:t xml:space="preserve"> </w:t>
      </w:r>
      <w:proofErr w:type="gramStart"/>
      <w:r w:rsidRPr="00081A7C">
        <w:rPr>
          <w:rFonts w:cstheme="minorHAnsi"/>
          <w:sz w:val="24"/>
          <w:szCs w:val="24"/>
        </w:rPr>
        <w:t>were appointed</w:t>
      </w:r>
      <w:proofErr w:type="gramEnd"/>
      <w:r w:rsidRPr="00081A7C">
        <w:rPr>
          <w:rFonts w:cstheme="minorHAnsi"/>
          <w:sz w:val="24"/>
          <w:szCs w:val="24"/>
        </w:rPr>
        <w:t xml:space="preserve">, and </w:t>
      </w:r>
      <w:r w:rsidRPr="00081A7C">
        <w:rPr>
          <w:rFonts w:cstheme="minorHAnsi"/>
          <w:sz w:val="24"/>
          <w:szCs w:val="24"/>
        </w:rPr>
        <w:lastRenderedPageBreak/>
        <w:t xml:space="preserve">a fixed-term office secretary and legal trainees were made available for administrative tasks. </w:t>
      </w:r>
    </w:p>
    <w:p w14:paraId="4868E56D" w14:textId="77777777" w:rsidR="00483BA8" w:rsidRDefault="00483BA8" w:rsidP="00483BA8">
      <w:pPr>
        <w:spacing w:after="0" w:line="240" w:lineRule="auto"/>
        <w:jc w:val="both"/>
        <w:rPr>
          <w:rFonts w:cstheme="minorHAnsi"/>
          <w:sz w:val="24"/>
          <w:szCs w:val="24"/>
        </w:rPr>
      </w:pPr>
    </w:p>
    <w:p w14:paraId="5B22250F" w14:textId="28B6E791" w:rsidR="00B2418D" w:rsidRDefault="00B2418D" w:rsidP="00483BA8">
      <w:pPr>
        <w:spacing w:after="0" w:line="240" w:lineRule="auto"/>
        <w:jc w:val="both"/>
        <w:rPr>
          <w:rFonts w:cstheme="minorHAnsi"/>
          <w:sz w:val="24"/>
          <w:szCs w:val="24"/>
        </w:rPr>
      </w:pPr>
      <w:r w:rsidRPr="00081A7C">
        <w:rPr>
          <w:rFonts w:cstheme="minorHAnsi"/>
          <w:sz w:val="24"/>
          <w:szCs w:val="24"/>
        </w:rPr>
        <w:t>In 2019 and 2020, the Tribunal was able to reduce its backlog to some extent (</w:t>
      </w:r>
      <w:r w:rsidR="00483BA8">
        <w:rPr>
          <w:rFonts w:cstheme="minorHAnsi"/>
          <w:sz w:val="24"/>
          <w:szCs w:val="24"/>
        </w:rPr>
        <w:t xml:space="preserve">please </w:t>
      </w:r>
      <w:r w:rsidRPr="00081A7C">
        <w:rPr>
          <w:rFonts w:cstheme="minorHAnsi"/>
          <w:sz w:val="24"/>
          <w:szCs w:val="24"/>
        </w:rPr>
        <w:t>see the table</w:t>
      </w:r>
      <w:r w:rsidR="00483BA8">
        <w:rPr>
          <w:rFonts w:cstheme="minorHAnsi"/>
          <w:sz w:val="24"/>
          <w:szCs w:val="24"/>
        </w:rPr>
        <w:t xml:space="preserve"> below</w:t>
      </w:r>
      <w:r w:rsidRPr="00081A7C">
        <w:rPr>
          <w:rFonts w:cstheme="minorHAnsi"/>
          <w:sz w:val="24"/>
          <w:szCs w:val="24"/>
        </w:rPr>
        <w:t xml:space="preserve">). However, the large number of cases, combined with the Tribunal’s vulnerability to changes and irregular situations due to its small size, caused processing times to increase. To return processing times to normal, an additional full-time </w:t>
      </w:r>
      <w:proofErr w:type="spellStart"/>
      <w:r w:rsidRPr="00081A7C">
        <w:rPr>
          <w:rFonts w:cstheme="minorHAnsi"/>
          <w:sz w:val="24"/>
          <w:szCs w:val="24"/>
        </w:rPr>
        <w:t>referendary</w:t>
      </w:r>
      <w:proofErr w:type="spellEnd"/>
      <w:r w:rsidRPr="00081A7C">
        <w:rPr>
          <w:rFonts w:cstheme="minorHAnsi"/>
          <w:sz w:val="24"/>
          <w:szCs w:val="24"/>
        </w:rPr>
        <w:t xml:space="preserve"> </w:t>
      </w:r>
      <w:proofErr w:type="gramStart"/>
      <w:r w:rsidRPr="00081A7C">
        <w:rPr>
          <w:rFonts w:cstheme="minorHAnsi"/>
          <w:sz w:val="24"/>
          <w:szCs w:val="24"/>
        </w:rPr>
        <w:t>was appointed</w:t>
      </w:r>
      <w:proofErr w:type="gramEnd"/>
      <w:r w:rsidRPr="00081A7C">
        <w:rPr>
          <w:rFonts w:cstheme="minorHAnsi"/>
          <w:sz w:val="24"/>
          <w:szCs w:val="24"/>
        </w:rPr>
        <w:t xml:space="preserve"> to the Tribunal for one year (starting from 15 January 2021). Processing times have now started to decrease, and it appears that the backlog </w:t>
      </w:r>
      <w:proofErr w:type="gramStart"/>
      <w:r w:rsidRPr="00081A7C">
        <w:rPr>
          <w:rFonts w:cstheme="minorHAnsi"/>
          <w:sz w:val="24"/>
          <w:szCs w:val="24"/>
        </w:rPr>
        <w:t>can be cleared</w:t>
      </w:r>
      <w:proofErr w:type="gramEnd"/>
      <w:r w:rsidRPr="00081A7C">
        <w:rPr>
          <w:rFonts w:cstheme="minorHAnsi"/>
          <w:sz w:val="24"/>
          <w:szCs w:val="24"/>
        </w:rPr>
        <w:t xml:space="preserve"> during 2021.</w:t>
      </w:r>
      <w:r w:rsidRPr="00081A7C">
        <w:rPr>
          <w:rFonts w:cstheme="minorHAnsi"/>
          <w:b/>
          <w:sz w:val="24"/>
          <w:szCs w:val="24"/>
        </w:rPr>
        <w:t xml:space="preserve"> </w:t>
      </w:r>
    </w:p>
    <w:p w14:paraId="58AC0045" w14:textId="0BDE76FA" w:rsidR="00081A7C" w:rsidRDefault="00081A7C" w:rsidP="00483BA8">
      <w:pPr>
        <w:spacing w:after="0" w:line="240" w:lineRule="auto"/>
        <w:rPr>
          <w:rFonts w:cstheme="minorHAnsi"/>
          <w:sz w:val="24"/>
          <w:szCs w:val="24"/>
        </w:rPr>
      </w:pPr>
    </w:p>
    <w:p w14:paraId="70870B5E" w14:textId="07CBF7FC" w:rsidR="00483BA8" w:rsidRDefault="00483BA8" w:rsidP="00483BA8">
      <w:pPr>
        <w:spacing w:after="0" w:line="240" w:lineRule="auto"/>
        <w:rPr>
          <w:rFonts w:cstheme="minorHAnsi"/>
          <w:sz w:val="24"/>
          <w:szCs w:val="24"/>
        </w:rPr>
      </w:pPr>
    </w:p>
    <w:p w14:paraId="36F52224" w14:textId="752B7D44" w:rsidR="00483BA8" w:rsidRDefault="00483BA8" w:rsidP="00483BA8">
      <w:pPr>
        <w:spacing w:after="0" w:line="240" w:lineRule="auto"/>
        <w:rPr>
          <w:rFonts w:cstheme="minorHAnsi"/>
          <w:sz w:val="24"/>
          <w:szCs w:val="24"/>
        </w:rPr>
      </w:pPr>
    </w:p>
    <w:p w14:paraId="207190C4" w14:textId="0AED44D2" w:rsidR="00483BA8" w:rsidRDefault="00483BA8" w:rsidP="00483BA8">
      <w:pPr>
        <w:spacing w:after="0" w:line="240" w:lineRule="auto"/>
        <w:rPr>
          <w:rFonts w:cstheme="minorHAnsi"/>
          <w:sz w:val="24"/>
          <w:szCs w:val="24"/>
        </w:rPr>
      </w:pPr>
    </w:p>
    <w:p w14:paraId="4B75EDED" w14:textId="77777777" w:rsidR="00AD513E" w:rsidRDefault="00AD513E" w:rsidP="00483BA8">
      <w:pPr>
        <w:spacing w:after="0" w:line="240" w:lineRule="auto"/>
        <w:rPr>
          <w:rFonts w:cstheme="minorHAnsi"/>
          <w:sz w:val="24"/>
          <w:szCs w:val="24"/>
        </w:rPr>
      </w:pPr>
    </w:p>
    <w:p w14:paraId="4EA1821C" w14:textId="50ACA971" w:rsidR="00483BA8" w:rsidRPr="00AD513E" w:rsidRDefault="00483BA8" w:rsidP="00AD513E">
      <w:pPr>
        <w:jc w:val="both"/>
        <w:rPr>
          <w:rFonts w:cstheme="minorHAnsi"/>
          <w:b/>
          <w:sz w:val="24"/>
          <w:szCs w:val="24"/>
        </w:rPr>
      </w:pPr>
      <w:r w:rsidRPr="00081A7C">
        <w:rPr>
          <w:rFonts w:cstheme="minorHAnsi"/>
          <w:b/>
          <w:sz w:val="24"/>
          <w:szCs w:val="24"/>
        </w:rPr>
        <w:t>Table: Information obtained from the National Non-Discrimination and Equality Tribunal about the total number of petitions and petitions transferred from the previous year.</w:t>
      </w:r>
    </w:p>
    <w:tbl>
      <w:tblPr>
        <w:tblStyle w:val="TableGrid"/>
        <w:tblW w:w="0" w:type="auto"/>
        <w:tblLook w:val="04A0" w:firstRow="1" w:lastRow="0" w:firstColumn="1" w:lastColumn="0" w:noHBand="0" w:noVBand="1"/>
      </w:tblPr>
      <w:tblGrid>
        <w:gridCol w:w="988"/>
        <w:gridCol w:w="3543"/>
        <w:gridCol w:w="4819"/>
      </w:tblGrid>
      <w:tr w:rsidR="00483BA8" w14:paraId="5A44BF8E" w14:textId="77777777" w:rsidTr="00483BA8">
        <w:tc>
          <w:tcPr>
            <w:tcW w:w="988" w:type="dxa"/>
            <w:shd w:val="clear" w:color="auto" w:fill="BDD6EE" w:themeFill="accent1" w:themeFillTint="66"/>
          </w:tcPr>
          <w:p w14:paraId="2999F1C4" w14:textId="3E976977" w:rsidR="00483BA8" w:rsidRPr="00483BA8" w:rsidRDefault="00483BA8" w:rsidP="00483BA8">
            <w:pPr>
              <w:spacing w:before="60" w:after="60"/>
              <w:jc w:val="center"/>
              <w:rPr>
                <w:rFonts w:cstheme="minorHAnsi"/>
                <w:b/>
                <w:sz w:val="24"/>
                <w:szCs w:val="24"/>
              </w:rPr>
            </w:pPr>
            <w:r w:rsidRPr="00483BA8">
              <w:rPr>
                <w:rFonts w:cstheme="minorHAnsi"/>
                <w:b/>
                <w:sz w:val="24"/>
                <w:szCs w:val="24"/>
              </w:rPr>
              <w:t>Year</w:t>
            </w:r>
          </w:p>
        </w:tc>
        <w:tc>
          <w:tcPr>
            <w:tcW w:w="3543" w:type="dxa"/>
            <w:shd w:val="clear" w:color="auto" w:fill="BDD6EE" w:themeFill="accent1" w:themeFillTint="66"/>
          </w:tcPr>
          <w:p w14:paraId="11DCA72D" w14:textId="6DB51A64" w:rsidR="00483BA8" w:rsidRPr="00483BA8" w:rsidRDefault="00483BA8" w:rsidP="00483BA8">
            <w:pPr>
              <w:spacing w:before="60" w:after="60"/>
              <w:jc w:val="center"/>
              <w:rPr>
                <w:rFonts w:cstheme="minorHAnsi"/>
                <w:b/>
                <w:sz w:val="24"/>
                <w:szCs w:val="24"/>
              </w:rPr>
            </w:pPr>
            <w:r w:rsidRPr="00483BA8">
              <w:rPr>
                <w:rFonts w:cstheme="minorHAnsi"/>
                <w:b/>
                <w:sz w:val="24"/>
                <w:szCs w:val="24"/>
              </w:rPr>
              <w:t>Number of petitions received</w:t>
            </w:r>
          </w:p>
        </w:tc>
        <w:tc>
          <w:tcPr>
            <w:tcW w:w="4819" w:type="dxa"/>
            <w:shd w:val="clear" w:color="auto" w:fill="BDD6EE" w:themeFill="accent1" w:themeFillTint="66"/>
          </w:tcPr>
          <w:p w14:paraId="59061AF3" w14:textId="4CA5E581" w:rsidR="00483BA8" w:rsidRPr="00483BA8" w:rsidRDefault="00483BA8" w:rsidP="00483BA8">
            <w:pPr>
              <w:spacing w:before="60" w:after="60"/>
              <w:jc w:val="center"/>
              <w:rPr>
                <w:rFonts w:cstheme="minorHAnsi"/>
                <w:b/>
                <w:sz w:val="24"/>
                <w:szCs w:val="24"/>
              </w:rPr>
            </w:pPr>
            <w:r w:rsidRPr="00483BA8">
              <w:rPr>
                <w:rFonts w:cstheme="minorHAnsi"/>
                <w:b/>
                <w:sz w:val="24"/>
                <w:szCs w:val="24"/>
              </w:rPr>
              <w:t>Petitions transferred from the previous year</w:t>
            </w:r>
          </w:p>
        </w:tc>
      </w:tr>
      <w:tr w:rsidR="00483BA8" w14:paraId="5D9D0FAF" w14:textId="77777777" w:rsidTr="00483BA8">
        <w:tc>
          <w:tcPr>
            <w:tcW w:w="988" w:type="dxa"/>
          </w:tcPr>
          <w:p w14:paraId="1A759E47" w14:textId="1F6E04BF" w:rsidR="00483BA8" w:rsidRDefault="00483BA8" w:rsidP="00483BA8">
            <w:pPr>
              <w:jc w:val="center"/>
              <w:rPr>
                <w:rFonts w:cstheme="minorHAnsi"/>
                <w:sz w:val="24"/>
                <w:szCs w:val="24"/>
              </w:rPr>
            </w:pPr>
            <w:r>
              <w:rPr>
                <w:rFonts w:cstheme="minorHAnsi"/>
                <w:sz w:val="24"/>
                <w:szCs w:val="24"/>
              </w:rPr>
              <w:t>2015</w:t>
            </w:r>
          </w:p>
        </w:tc>
        <w:tc>
          <w:tcPr>
            <w:tcW w:w="3543" w:type="dxa"/>
          </w:tcPr>
          <w:p w14:paraId="2D45CEA7" w14:textId="6131876E" w:rsidR="00483BA8" w:rsidRDefault="00483BA8" w:rsidP="00483BA8">
            <w:pPr>
              <w:jc w:val="center"/>
              <w:rPr>
                <w:rFonts w:cstheme="minorHAnsi"/>
                <w:sz w:val="24"/>
                <w:szCs w:val="24"/>
              </w:rPr>
            </w:pPr>
            <w:r>
              <w:rPr>
                <w:rFonts w:cstheme="minorHAnsi"/>
                <w:sz w:val="24"/>
                <w:szCs w:val="24"/>
              </w:rPr>
              <w:t>40</w:t>
            </w:r>
          </w:p>
        </w:tc>
        <w:tc>
          <w:tcPr>
            <w:tcW w:w="4819" w:type="dxa"/>
          </w:tcPr>
          <w:p w14:paraId="6A15B3BB" w14:textId="77777777" w:rsidR="00483BA8" w:rsidRDefault="00483BA8" w:rsidP="00483BA8">
            <w:pPr>
              <w:jc w:val="center"/>
              <w:rPr>
                <w:rFonts w:cstheme="minorHAnsi"/>
                <w:sz w:val="24"/>
                <w:szCs w:val="24"/>
              </w:rPr>
            </w:pPr>
          </w:p>
        </w:tc>
      </w:tr>
      <w:tr w:rsidR="00483BA8" w14:paraId="1D1497B1" w14:textId="77777777" w:rsidTr="00483BA8">
        <w:tc>
          <w:tcPr>
            <w:tcW w:w="988" w:type="dxa"/>
          </w:tcPr>
          <w:p w14:paraId="6D6F84FD" w14:textId="6F465896" w:rsidR="00483BA8" w:rsidRDefault="00483BA8" w:rsidP="00483BA8">
            <w:pPr>
              <w:jc w:val="center"/>
              <w:rPr>
                <w:rFonts w:cstheme="minorHAnsi"/>
                <w:sz w:val="24"/>
                <w:szCs w:val="24"/>
              </w:rPr>
            </w:pPr>
            <w:r>
              <w:rPr>
                <w:rFonts w:cstheme="minorHAnsi"/>
                <w:sz w:val="24"/>
                <w:szCs w:val="24"/>
              </w:rPr>
              <w:t>2016</w:t>
            </w:r>
          </w:p>
        </w:tc>
        <w:tc>
          <w:tcPr>
            <w:tcW w:w="3543" w:type="dxa"/>
          </w:tcPr>
          <w:p w14:paraId="6A4DC4A2" w14:textId="69A90283" w:rsidR="00483BA8" w:rsidRDefault="00483BA8" w:rsidP="00483BA8">
            <w:pPr>
              <w:jc w:val="center"/>
              <w:rPr>
                <w:rFonts w:cstheme="minorHAnsi"/>
                <w:sz w:val="24"/>
                <w:szCs w:val="24"/>
              </w:rPr>
            </w:pPr>
            <w:r>
              <w:rPr>
                <w:rFonts w:cstheme="minorHAnsi"/>
                <w:sz w:val="24"/>
                <w:szCs w:val="24"/>
              </w:rPr>
              <w:t>37</w:t>
            </w:r>
          </w:p>
        </w:tc>
        <w:tc>
          <w:tcPr>
            <w:tcW w:w="4819" w:type="dxa"/>
          </w:tcPr>
          <w:p w14:paraId="447D7C41" w14:textId="29D29A47" w:rsidR="00483BA8" w:rsidRDefault="00483BA8" w:rsidP="00483BA8">
            <w:pPr>
              <w:jc w:val="center"/>
              <w:rPr>
                <w:rFonts w:cstheme="minorHAnsi"/>
                <w:sz w:val="24"/>
                <w:szCs w:val="24"/>
              </w:rPr>
            </w:pPr>
            <w:r>
              <w:rPr>
                <w:rFonts w:cstheme="minorHAnsi"/>
                <w:sz w:val="24"/>
                <w:szCs w:val="24"/>
              </w:rPr>
              <w:t>22</w:t>
            </w:r>
          </w:p>
        </w:tc>
      </w:tr>
      <w:tr w:rsidR="00483BA8" w14:paraId="23CD578C" w14:textId="77777777" w:rsidTr="00483BA8">
        <w:tc>
          <w:tcPr>
            <w:tcW w:w="988" w:type="dxa"/>
          </w:tcPr>
          <w:p w14:paraId="3A0C1F1E" w14:textId="23FEE60A" w:rsidR="00483BA8" w:rsidRDefault="00483BA8" w:rsidP="00483BA8">
            <w:pPr>
              <w:jc w:val="center"/>
              <w:rPr>
                <w:rFonts w:cstheme="minorHAnsi"/>
                <w:sz w:val="24"/>
                <w:szCs w:val="24"/>
              </w:rPr>
            </w:pPr>
            <w:r>
              <w:rPr>
                <w:rFonts w:cstheme="minorHAnsi"/>
                <w:sz w:val="24"/>
                <w:szCs w:val="24"/>
              </w:rPr>
              <w:t>2017</w:t>
            </w:r>
          </w:p>
        </w:tc>
        <w:tc>
          <w:tcPr>
            <w:tcW w:w="3543" w:type="dxa"/>
          </w:tcPr>
          <w:p w14:paraId="7E12961D" w14:textId="0615C392" w:rsidR="00483BA8" w:rsidRDefault="00483BA8" w:rsidP="00483BA8">
            <w:pPr>
              <w:jc w:val="center"/>
              <w:rPr>
                <w:rFonts w:cstheme="minorHAnsi"/>
                <w:sz w:val="24"/>
                <w:szCs w:val="24"/>
              </w:rPr>
            </w:pPr>
            <w:r>
              <w:rPr>
                <w:rFonts w:cstheme="minorHAnsi"/>
                <w:sz w:val="24"/>
                <w:szCs w:val="24"/>
              </w:rPr>
              <w:t>70</w:t>
            </w:r>
          </w:p>
        </w:tc>
        <w:tc>
          <w:tcPr>
            <w:tcW w:w="4819" w:type="dxa"/>
          </w:tcPr>
          <w:p w14:paraId="2A15DD08" w14:textId="277F0911" w:rsidR="00483BA8" w:rsidRDefault="00483BA8" w:rsidP="00483BA8">
            <w:pPr>
              <w:jc w:val="center"/>
              <w:rPr>
                <w:rFonts w:cstheme="minorHAnsi"/>
                <w:sz w:val="24"/>
                <w:szCs w:val="24"/>
              </w:rPr>
            </w:pPr>
            <w:r>
              <w:rPr>
                <w:rFonts w:cstheme="minorHAnsi"/>
                <w:sz w:val="24"/>
                <w:szCs w:val="24"/>
              </w:rPr>
              <w:t>28</w:t>
            </w:r>
          </w:p>
        </w:tc>
      </w:tr>
      <w:tr w:rsidR="00483BA8" w14:paraId="16EB597D" w14:textId="77777777" w:rsidTr="00483BA8">
        <w:tc>
          <w:tcPr>
            <w:tcW w:w="988" w:type="dxa"/>
          </w:tcPr>
          <w:p w14:paraId="17A44EF5" w14:textId="60BDFCC2" w:rsidR="00483BA8" w:rsidRDefault="00483BA8" w:rsidP="00483BA8">
            <w:pPr>
              <w:jc w:val="center"/>
              <w:rPr>
                <w:rFonts w:cstheme="minorHAnsi"/>
                <w:sz w:val="24"/>
                <w:szCs w:val="24"/>
              </w:rPr>
            </w:pPr>
            <w:r>
              <w:rPr>
                <w:rFonts w:cstheme="minorHAnsi"/>
                <w:sz w:val="24"/>
                <w:szCs w:val="24"/>
              </w:rPr>
              <w:t>2018</w:t>
            </w:r>
          </w:p>
        </w:tc>
        <w:tc>
          <w:tcPr>
            <w:tcW w:w="3543" w:type="dxa"/>
          </w:tcPr>
          <w:p w14:paraId="1575D038" w14:textId="36695561" w:rsidR="00483BA8" w:rsidRDefault="00483BA8" w:rsidP="00483BA8">
            <w:pPr>
              <w:jc w:val="center"/>
              <w:rPr>
                <w:rFonts w:cstheme="minorHAnsi"/>
                <w:sz w:val="24"/>
                <w:szCs w:val="24"/>
              </w:rPr>
            </w:pPr>
            <w:r>
              <w:rPr>
                <w:rFonts w:cstheme="minorHAnsi"/>
                <w:sz w:val="24"/>
                <w:szCs w:val="24"/>
              </w:rPr>
              <w:t>124</w:t>
            </w:r>
          </w:p>
        </w:tc>
        <w:tc>
          <w:tcPr>
            <w:tcW w:w="4819" w:type="dxa"/>
          </w:tcPr>
          <w:p w14:paraId="63C1A532" w14:textId="3BDEED9E" w:rsidR="00483BA8" w:rsidRDefault="00483BA8" w:rsidP="00483BA8">
            <w:pPr>
              <w:jc w:val="center"/>
              <w:rPr>
                <w:rFonts w:cstheme="minorHAnsi"/>
                <w:sz w:val="24"/>
                <w:szCs w:val="24"/>
              </w:rPr>
            </w:pPr>
            <w:r>
              <w:rPr>
                <w:rFonts w:cstheme="minorHAnsi"/>
                <w:sz w:val="24"/>
                <w:szCs w:val="24"/>
              </w:rPr>
              <w:t>41</w:t>
            </w:r>
          </w:p>
        </w:tc>
      </w:tr>
      <w:tr w:rsidR="00483BA8" w14:paraId="6BA364B1" w14:textId="77777777" w:rsidTr="00483BA8">
        <w:tc>
          <w:tcPr>
            <w:tcW w:w="988" w:type="dxa"/>
          </w:tcPr>
          <w:p w14:paraId="5DD4E095" w14:textId="5D3F402B" w:rsidR="00483BA8" w:rsidRDefault="00483BA8" w:rsidP="00483BA8">
            <w:pPr>
              <w:jc w:val="center"/>
              <w:rPr>
                <w:rFonts w:cstheme="minorHAnsi"/>
                <w:sz w:val="24"/>
                <w:szCs w:val="24"/>
              </w:rPr>
            </w:pPr>
            <w:r>
              <w:rPr>
                <w:rFonts w:cstheme="minorHAnsi"/>
                <w:sz w:val="24"/>
                <w:szCs w:val="24"/>
              </w:rPr>
              <w:t>2019</w:t>
            </w:r>
          </w:p>
        </w:tc>
        <w:tc>
          <w:tcPr>
            <w:tcW w:w="3543" w:type="dxa"/>
          </w:tcPr>
          <w:p w14:paraId="4AB89B9B" w14:textId="6AE7936B" w:rsidR="00483BA8" w:rsidRDefault="00483BA8" w:rsidP="00483BA8">
            <w:pPr>
              <w:jc w:val="center"/>
              <w:rPr>
                <w:rFonts w:cstheme="minorHAnsi"/>
                <w:sz w:val="24"/>
                <w:szCs w:val="24"/>
              </w:rPr>
            </w:pPr>
            <w:r>
              <w:rPr>
                <w:rFonts w:cstheme="minorHAnsi"/>
                <w:sz w:val="24"/>
                <w:szCs w:val="24"/>
              </w:rPr>
              <w:t>62</w:t>
            </w:r>
          </w:p>
        </w:tc>
        <w:tc>
          <w:tcPr>
            <w:tcW w:w="4819" w:type="dxa"/>
          </w:tcPr>
          <w:p w14:paraId="27365D3B" w14:textId="52B2D213" w:rsidR="00483BA8" w:rsidRDefault="00483BA8" w:rsidP="00483BA8">
            <w:pPr>
              <w:jc w:val="center"/>
              <w:rPr>
                <w:rFonts w:cstheme="minorHAnsi"/>
                <w:sz w:val="24"/>
                <w:szCs w:val="24"/>
              </w:rPr>
            </w:pPr>
            <w:r>
              <w:rPr>
                <w:rFonts w:cstheme="minorHAnsi"/>
                <w:sz w:val="24"/>
                <w:szCs w:val="24"/>
              </w:rPr>
              <w:t>110</w:t>
            </w:r>
          </w:p>
        </w:tc>
      </w:tr>
      <w:tr w:rsidR="00483BA8" w14:paraId="2A5AB53B" w14:textId="77777777" w:rsidTr="00483BA8">
        <w:tc>
          <w:tcPr>
            <w:tcW w:w="988" w:type="dxa"/>
          </w:tcPr>
          <w:p w14:paraId="765AC658" w14:textId="373BB2C2" w:rsidR="00483BA8" w:rsidRDefault="00483BA8" w:rsidP="00483BA8">
            <w:pPr>
              <w:jc w:val="center"/>
              <w:rPr>
                <w:rFonts w:cstheme="minorHAnsi"/>
                <w:sz w:val="24"/>
                <w:szCs w:val="24"/>
              </w:rPr>
            </w:pPr>
            <w:r>
              <w:rPr>
                <w:rFonts w:cstheme="minorHAnsi"/>
                <w:sz w:val="24"/>
                <w:szCs w:val="24"/>
              </w:rPr>
              <w:t>2020</w:t>
            </w:r>
          </w:p>
        </w:tc>
        <w:tc>
          <w:tcPr>
            <w:tcW w:w="3543" w:type="dxa"/>
          </w:tcPr>
          <w:p w14:paraId="13781B7A" w14:textId="58683048" w:rsidR="00483BA8" w:rsidRDefault="00483BA8" w:rsidP="00483BA8">
            <w:pPr>
              <w:jc w:val="center"/>
              <w:rPr>
                <w:rFonts w:cstheme="minorHAnsi"/>
                <w:sz w:val="24"/>
                <w:szCs w:val="24"/>
              </w:rPr>
            </w:pPr>
            <w:r>
              <w:rPr>
                <w:rFonts w:cstheme="minorHAnsi"/>
                <w:sz w:val="24"/>
                <w:szCs w:val="24"/>
              </w:rPr>
              <w:t>49</w:t>
            </w:r>
          </w:p>
        </w:tc>
        <w:tc>
          <w:tcPr>
            <w:tcW w:w="4819" w:type="dxa"/>
          </w:tcPr>
          <w:p w14:paraId="01C2D464" w14:textId="6794215B" w:rsidR="00483BA8" w:rsidRDefault="00483BA8" w:rsidP="00483BA8">
            <w:pPr>
              <w:jc w:val="center"/>
              <w:rPr>
                <w:rFonts w:cstheme="minorHAnsi"/>
                <w:sz w:val="24"/>
                <w:szCs w:val="24"/>
              </w:rPr>
            </w:pPr>
            <w:r>
              <w:rPr>
                <w:rFonts w:cstheme="minorHAnsi"/>
                <w:sz w:val="24"/>
                <w:szCs w:val="24"/>
              </w:rPr>
              <w:t>83</w:t>
            </w:r>
          </w:p>
        </w:tc>
      </w:tr>
      <w:tr w:rsidR="00483BA8" w14:paraId="1FDCD432" w14:textId="77777777" w:rsidTr="00483BA8">
        <w:tc>
          <w:tcPr>
            <w:tcW w:w="988" w:type="dxa"/>
          </w:tcPr>
          <w:p w14:paraId="74E7550D" w14:textId="74C49A1C" w:rsidR="00483BA8" w:rsidRDefault="00483BA8" w:rsidP="00483BA8">
            <w:pPr>
              <w:jc w:val="center"/>
              <w:rPr>
                <w:rFonts w:cstheme="minorHAnsi"/>
                <w:sz w:val="24"/>
                <w:szCs w:val="24"/>
              </w:rPr>
            </w:pPr>
            <w:r>
              <w:rPr>
                <w:rFonts w:cstheme="minorHAnsi"/>
                <w:sz w:val="24"/>
                <w:szCs w:val="24"/>
              </w:rPr>
              <w:t>2021</w:t>
            </w:r>
          </w:p>
        </w:tc>
        <w:tc>
          <w:tcPr>
            <w:tcW w:w="3543" w:type="dxa"/>
          </w:tcPr>
          <w:p w14:paraId="69B6C28A" w14:textId="7CDB8E0C" w:rsidR="00483BA8" w:rsidRDefault="00483BA8" w:rsidP="00483BA8">
            <w:pPr>
              <w:jc w:val="center"/>
              <w:rPr>
                <w:rFonts w:cstheme="minorHAnsi"/>
                <w:sz w:val="24"/>
                <w:szCs w:val="24"/>
              </w:rPr>
            </w:pPr>
            <w:r>
              <w:rPr>
                <w:rFonts w:cstheme="minorHAnsi"/>
                <w:sz w:val="24"/>
                <w:szCs w:val="24"/>
              </w:rPr>
              <w:t xml:space="preserve">9 </w:t>
            </w:r>
            <w:r w:rsidRPr="00483BA8">
              <w:rPr>
                <w:rFonts w:cstheme="minorHAnsi"/>
                <w:sz w:val="20"/>
                <w:szCs w:val="20"/>
              </w:rPr>
              <w:t>(31.5.2021)</w:t>
            </w:r>
          </w:p>
        </w:tc>
        <w:tc>
          <w:tcPr>
            <w:tcW w:w="4819" w:type="dxa"/>
          </w:tcPr>
          <w:p w14:paraId="23521ADA" w14:textId="32654CC5" w:rsidR="00483BA8" w:rsidRDefault="00483BA8" w:rsidP="00483BA8">
            <w:pPr>
              <w:jc w:val="center"/>
              <w:rPr>
                <w:rFonts w:cstheme="minorHAnsi"/>
                <w:sz w:val="24"/>
                <w:szCs w:val="24"/>
              </w:rPr>
            </w:pPr>
            <w:r>
              <w:rPr>
                <w:rFonts w:cstheme="minorHAnsi"/>
                <w:sz w:val="24"/>
                <w:szCs w:val="24"/>
              </w:rPr>
              <w:t>53</w:t>
            </w:r>
          </w:p>
        </w:tc>
      </w:tr>
    </w:tbl>
    <w:p w14:paraId="6FC9F305" w14:textId="77777777" w:rsidR="00483BA8" w:rsidRPr="00081A7C" w:rsidRDefault="00483BA8" w:rsidP="00483BA8">
      <w:pPr>
        <w:spacing w:after="0" w:line="240" w:lineRule="auto"/>
        <w:rPr>
          <w:rFonts w:cstheme="minorHAnsi"/>
          <w:sz w:val="24"/>
          <w:szCs w:val="24"/>
        </w:rPr>
      </w:pPr>
    </w:p>
    <w:p w14:paraId="44D96C2A" w14:textId="77777777" w:rsidR="009602C8" w:rsidRDefault="009602C8" w:rsidP="009602C8">
      <w:pPr>
        <w:spacing w:after="0" w:line="240" w:lineRule="auto"/>
        <w:jc w:val="both"/>
        <w:rPr>
          <w:rFonts w:cstheme="minorHAnsi"/>
          <w:sz w:val="24"/>
          <w:szCs w:val="24"/>
        </w:rPr>
      </w:pPr>
    </w:p>
    <w:p w14:paraId="1E52C746" w14:textId="1BE1E9F7" w:rsidR="009602C8" w:rsidRPr="009602C8" w:rsidRDefault="009602C8" w:rsidP="009602C8">
      <w:pPr>
        <w:spacing w:after="0" w:line="240" w:lineRule="auto"/>
        <w:jc w:val="both"/>
        <w:rPr>
          <w:rFonts w:cstheme="minorHAnsi"/>
          <w:sz w:val="24"/>
          <w:szCs w:val="24"/>
        </w:rPr>
      </w:pPr>
      <w:r w:rsidRPr="009602C8">
        <w:rPr>
          <w:rFonts w:cstheme="minorHAnsi"/>
          <w:sz w:val="24"/>
          <w:szCs w:val="24"/>
        </w:rPr>
        <w:t xml:space="preserve">The Ombudsman for Equality is an independent national equality body whose duty is to supervise compliance with the Act on Equality between Women and Men (1986/609, the Equality Act) and to promote compliance with the objectives of the Act. The purpose of the Equality Act is to prevent discrimination based on gender, to promote equality between women and men, and to improve the status of women particularly in working life. The Act </w:t>
      </w:r>
      <w:proofErr w:type="gramStart"/>
      <w:r w:rsidRPr="009602C8">
        <w:rPr>
          <w:rFonts w:cstheme="minorHAnsi"/>
          <w:sz w:val="24"/>
          <w:szCs w:val="24"/>
        </w:rPr>
        <w:t>is also intended</w:t>
      </w:r>
      <w:proofErr w:type="gramEnd"/>
      <w:r w:rsidRPr="009602C8">
        <w:rPr>
          <w:rFonts w:cstheme="minorHAnsi"/>
          <w:sz w:val="24"/>
          <w:szCs w:val="24"/>
        </w:rPr>
        <w:t xml:space="preserve"> to prevent discrimination based on gender identity or gender expression. </w:t>
      </w:r>
      <w:proofErr w:type="gramStart"/>
      <w:r w:rsidRPr="009602C8">
        <w:rPr>
          <w:rFonts w:cstheme="minorHAnsi"/>
          <w:sz w:val="24"/>
          <w:szCs w:val="24"/>
        </w:rPr>
        <w:t>Intersectional discrimination is not covered by the Equality Act</w:t>
      </w:r>
      <w:proofErr w:type="gramEnd"/>
      <w:r w:rsidRPr="009602C8">
        <w:rPr>
          <w:rFonts w:cstheme="minorHAnsi"/>
          <w:sz w:val="24"/>
          <w:szCs w:val="24"/>
        </w:rPr>
        <w:t xml:space="preserve"> nor does it fall under the mandate of the Ombudsman for Equality as this belongs to the authorities supervising the Non-Discrimination Act. </w:t>
      </w:r>
    </w:p>
    <w:p w14:paraId="38BCA215" w14:textId="11A8FDDF" w:rsidR="009602C8" w:rsidRDefault="009602C8" w:rsidP="00483BA8">
      <w:pPr>
        <w:spacing w:after="0" w:line="240" w:lineRule="auto"/>
        <w:jc w:val="both"/>
        <w:rPr>
          <w:rFonts w:cstheme="minorHAnsi"/>
          <w:b/>
          <w:sz w:val="24"/>
          <w:szCs w:val="24"/>
        </w:rPr>
      </w:pPr>
    </w:p>
    <w:p w14:paraId="36EF7109" w14:textId="537AEA74" w:rsidR="00AD513E" w:rsidRDefault="00AD513E" w:rsidP="00483BA8">
      <w:pPr>
        <w:spacing w:after="0" w:line="240" w:lineRule="auto"/>
        <w:jc w:val="both"/>
        <w:rPr>
          <w:rFonts w:cstheme="minorHAnsi"/>
          <w:b/>
          <w:sz w:val="24"/>
          <w:szCs w:val="24"/>
        </w:rPr>
      </w:pPr>
    </w:p>
    <w:p w14:paraId="4CEB14E9" w14:textId="6808DC11" w:rsidR="00081A7C" w:rsidRDefault="00081A7C" w:rsidP="00483BA8">
      <w:pPr>
        <w:spacing w:after="0" w:line="240" w:lineRule="auto"/>
        <w:jc w:val="both"/>
        <w:rPr>
          <w:rFonts w:cstheme="minorHAnsi"/>
          <w:b/>
          <w:sz w:val="24"/>
          <w:szCs w:val="24"/>
        </w:rPr>
      </w:pPr>
      <w:proofErr w:type="gramStart"/>
      <w:r>
        <w:rPr>
          <w:rFonts w:cstheme="minorHAnsi"/>
          <w:b/>
          <w:sz w:val="24"/>
          <w:szCs w:val="24"/>
        </w:rPr>
        <w:t xml:space="preserve">2. </w:t>
      </w:r>
      <w:r w:rsidR="00B7363A" w:rsidRPr="00081A7C">
        <w:rPr>
          <w:rFonts w:cstheme="minorHAnsi"/>
          <w:b/>
          <w:sz w:val="24"/>
          <w:szCs w:val="24"/>
        </w:rPr>
        <w:t xml:space="preserve">ECRI recommends as a matter of priority and in conformity with the case law of the European Court of Human Rights, that the Act on Legal Recognition of the Gender of Transsexuals should be amended to remove the requirement that persons seeking recognition in a gender other than that in which they were originally registered should be infertile or should undergo </w:t>
      </w:r>
      <w:proofErr w:type="spellStart"/>
      <w:r w:rsidR="00B7363A" w:rsidRPr="00081A7C">
        <w:rPr>
          <w:rFonts w:cstheme="minorHAnsi"/>
          <w:b/>
          <w:sz w:val="24"/>
          <w:szCs w:val="24"/>
        </w:rPr>
        <w:t>sterilisation</w:t>
      </w:r>
      <w:proofErr w:type="spellEnd"/>
      <w:r w:rsidR="00B7363A" w:rsidRPr="00081A7C">
        <w:rPr>
          <w:rFonts w:cstheme="minorHAnsi"/>
          <w:b/>
          <w:sz w:val="24"/>
          <w:szCs w:val="24"/>
        </w:rPr>
        <w:t xml:space="preserve"> as a pre-condition for legal recognition.</w:t>
      </w:r>
      <w:proofErr w:type="gramEnd"/>
    </w:p>
    <w:p w14:paraId="7418A9FD" w14:textId="77777777" w:rsidR="00081A7C" w:rsidRDefault="00081A7C" w:rsidP="00483BA8">
      <w:pPr>
        <w:spacing w:after="0" w:line="240" w:lineRule="auto"/>
        <w:jc w:val="both"/>
        <w:rPr>
          <w:rFonts w:cstheme="minorHAnsi"/>
          <w:b/>
          <w:sz w:val="24"/>
          <w:szCs w:val="24"/>
        </w:rPr>
      </w:pPr>
    </w:p>
    <w:p w14:paraId="5A39DAD2" w14:textId="2F3FB222" w:rsidR="00B7363A" w:rsidRDefault="00B7363A" w:rsidP="00483BA8">
      <w:pPr>
        <w:spacing w:after="0" w:line="240" w:lineRule="auto"/>
        <w:jc w:val="both"/>
        <w:rPr>
          <w:rFonts w:cstheme="minorHAnsi"/>
          <w:sz w:val="24"/>
          <w:szCs w:val="24"/>
        </w:rPr>
      </w:pPr>
      <w:r w:rsidRPr="00081A7C">
        <w:rPr>
          <w:rFonts w:cstheme="minorHAnsi"/>
          <w:sz w:val="24"/>
          <w:szCs w:val="24"/>
        </w:rPr>
        <w:t xml:space="preserve">The Government </w:t>
      </w:r>
      <w:proofErr w:type="spellStart"/>
      <w:r w:rsidRPr="00081A7C">
        <w:rPr>
          <w:rFonts w:cstheme="minorHAnsi"/>
          <w:sz w:val="24"/>
          <w:szCs w:val="24"/>
        </w:rPr>
        <w:t>Programme</w:t>
      </w:r>
      <w:proofErr w:type="spellEnd"/>
      <w:r w:rsidRPr="00081A7C">
        <w:rPr>
          <w:rFonts w:cstheme="minorHAnsi"/>
          <w:sz w:val="24"/>
          <w:szCs w:val="24"/>
        </w:rPr>
        <w:t xml:space="preserve"> </w:t>
      </w:r>
      <w:r w:rsidR="009602C8">
        <w:rPr>
          <w:rFonts w:cstheme="minorHAnsi"/>
          <w:sz w:val="24"/>
          <w:szCs w:val="24"/>
        </w:rPr>
        <w:t xml:space="preserve">of Prime Minister Sanna Marin </w:t>
      </w:r>
      <w:r w:rsidRPr="00081A7C">
        <w:rPr>
          <w:rFonts w:cstheme="minorHAnsi"/>
          <w:sz w:val="24"/>
          <w:szCs w:val="24"/>
        </w:rPr>
        <w:t xml:space="preserve">includes the overall reform of the Act on Legal Recognition of the Gender of Transsexuals. The Government proposal is due to </w:t>
      </w:r>
      <w:proofErr w:type="gramStart"/>
      <w:r w:rsidRPr="00081A7C">
        <w:rPr>
          <w:rFonts w:cstheme="minorHAnsi"/>
          <w:sz w:val="24"/>
          <w:szCs w:val="24"/>
        </w:rPr>
        <w:t>be submitted</w:t>
      </w:r>
      <w:proofErr w:type="gramEnd"/>
      <w:r w:rsidRPr="00081A7C">
        <w:rPr>
          <w:rFonts w:cstheme="minorHAnsi"/>
          <w:sz w:val="24"/>
          <w:szCs w:val="24"/>
        </w:rPr>
        <w:t xml:space="preserve"> to Parliament in 2022, and the Act is scheduled to enter into force as early as possible. The reform will correct the legal state that </w:t>
      </w:r>
      <w:proofErr w:type="gramStart"/>
      <w:r w:rsidRPr="00081A7C">
        <w:rPr>
          <w:rFonts w:cstheme="minorHAnsi"/>
          <w:sz w:val="24"/>
          <w:szCs w:val="24"/>
        </w:rPr>
        <w:t>is not in compliance</w:t>
      </w:r>
      <w:proofErr w:type="gramEnd"/>
      <w:r w:rsidRPr="00081A7C">
        <w:rPr>
          <w:rFonts w:cstheme="minorHAnsi"/>
          <w:sz w:val="24"/>
          <w:szCs w:val="24"/>
        </w:rPr>
        <w:t xml:space="preserve"> with </w:t>
      </w:r>
      <w:r w:rsidR="009602C8">
        <w:rPr>
          <w:rFonts w:cstheme="minorHAnsi"/>
          <w:sz w:val="24"/>
          <w:szCs w:val="24"/>
        </w:rPr>
        <w:t>the case law of the European Court of Human Rights and human rights treaties</w:t>
      </w:r>
      <w:bookmarkStart w:id="0" w:name="_GoBack"/>
      <w:bookmarkEnd w:id="0"/>
      <w:r w:rsidRPr="00081A7C">
        <w:rPr>
          <w:rFonts w:cstheme="minorHAnsi"/>
          <w:sz w:val="24"/>
          <w:szCs w:val="24"/>
        </w:rPr>
        <w:t>.</w:t>
      </w:r>
    </w:p>
    <w:p w14:paraId="36DF6D3E" w14:textId="6A147576" w:rsidR="009602C8" w:rsidRDefault="009602C8" w:rsidP="009602C8">
      <w:pPr>
        <w:spacing w:after="0" w:line="240" w:lineRule="auto"/>
        <w:rPr>
          <w:rFonts w:cstheme="minorHAnsi"/>
          <w:sz w:val="24"/>
          <w:szCs w:val="24"/>
        </w:rPr>
      </w:pPr>
    </w:p>
    <w:p w14:paraId="4B999BF6" w14:textId="77777777" w:rsidR="009602C8" w:rsidRPr="00081A7C" w:rsidRDefault="009602C8" w:rsidP="00483BA8">
      <w:pPr>
        <w:spacing w:after="0" w:line="240" w:lineRule="auto"/>
        <w:ind w:left="360"/>
        <w:rPr>
          <w:rFonts w:cstheme="minorHAnsi"/>
          <w:sz w:val="24"/>
          <w:szCs w:val="24"/>
        </w:rPr>
      </w:pPr>
    </w:p>
    <w:p w14:paraId="788C99DB" w14:textId="7EA27E82" w:rsidR="00B7363A" w:rsidRPr="00081A7C" w:rsidRDefault="001A408A" w:rsidP="00483BA8">
      <w:pPr>
        <w:spacing w:after="0" w:line="240" w:lineRule="auto"/>
        <w:jc w:val="center"/>
        <w:rPr>
          <w:rFonts w:cstheme="minorHAnsi"/>
          <w:sz w:val="24"/>
          <w:szCs w:val="24"/>
        </w:rPr>
      </w:pPr>
      <w:r w:rsidRPr="00081A7C">
        <w:rPr>
          <w:rFonts w:cstheme="minorHAnsi"/>
          <w:sz w:val="24"/>
          <w:szCs w:val="24"/>
        </w:rPr>
        <w:t>= = =</w:t>
      </w:r>
    </w:p>
    <w:p w14:paraId="3ADC3F55" w14:textId="2E766E55" w:rsidR="00081A7C" w:rsidRPr="00081A7C" w:rsidRDefault="00081A7C" w:rsidP="00483BA8">
      <w:pPr>
        <w:spacing w:after="0" w:line="240" w:lineRule="auto"/>
        <w:jc w:val="center"/>
        <w:rPr>
          <w:rFonts w:cstheme="minorHAnsi"/>
          <w:sz w:val="24"/>
          <w:szCs w:val="24"/>
        </w:rPr>
      </w:pPr>
    </w:p>
    <w:sectPr w:rsidR="00081A7C" w:rsidRPr="00081A7C" w:rsidSect="00AD513E">
      <w:headerReference w:type="default" r:id="rId8"/>
      <w:footerReference w:type="default" r:id="rId9"/>
      <w:pgSz w:w="12240" w:h="15840"/>
      <w:pgMar w:top="1440" w:right="1440" w:bottom="1440" w:left="144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54F1" w14:textId="77777777" w:rsidR="003B337B" w:rsidRDefault="003B337B" w:rsidP="00081A7C">
      <w:pPr>
        <w:spacing w:after="0" w:line="240" w:lineRule="auto"/>
      </w:pPr>
      <w:r>
        <w:separator/>
      </w:r>
    </w:p>
  </w:endnote>
  <w:endnote w:type="continuationSeparator" w:id="0">
    <w:p w14:paraId="22A19C0A" w14:textId="77777777" w:rsidR="003B337B" w:rsidRDefault="003B337B" w:rsidP="0008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920996"/>
      <w:docPartObj>
        <w:docPartGallery w:val="Page Numbers (Bottom of Page)"/>
        <w:docPartUnique/>
      </w:docPartObj>
    </w:sdtPr>
    <w:sdtEndPr>
      <w:rPr>
        <w:noProof/>
      </w:rPr>
    </w:sdtEndPr>
    <w:sdtContent>
      <w:p w14:paraId="2ED53011" w14:textId="2E13CD3D" w:rsidR="00AD513E" w:rsidRDefault="00AD513E">
        <w:pPr>
          <w:pStyle w:val="Footer"/>
          <w:jc w:val="center"/>
        </w:pPr>
        <w:r>
          <w:fldChar w:fldCharType="begin"/>
        </w:r>
        <w:r>
          <w:instrText xml:space="preserve"> PAGE   \* MERGEFORMAT </w:instrText>
        </w:r>
        <w:r>
          <w:fldChar w:fldCharType="separate"/>
        </w:r>
        <w:r w:rsidR="009602C8">
          <w:rPr>
            <w:noProof/>
          </w:rPr>
          <w:t>2</w:t>
        </w:r>
        <w:r>
          <w:rPr>
            <w:noProof/>
          </w:rPr>
          <w:fldChar w:fldCharType="end"/>
        </w:r>
      </w:p>
    </w:sdtContent>
  </w:sdt>
  <w:p w14:paraId="4D55421C" w14:textId="77777777" w:rsidR="00AD513E" w:rsidRDefault="00AD5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2F4A5" w14:textId="77777777" w:rsidR="003B337B" w:rsidRDefault="003B337B" w:rsidP="00081A7C">
      <w:pPr>
        <w:spacing w:after="0" w:line="240" w:lineRule="auto"/>
      </w:pPr>
      <w:r>
        <w:separator/>
      </w:r>
    </w:p>
  </w:footnote>
  <w:footnote w:type="continuationSeparator" w:id="0">
    <w:p w14:paraId="0AEB43C8" w14:textId="77777777" w:rsidR="003B337B" w:rsidRDefault="003B337B" w:rsidP="0008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5955" w14:textId="4F541E42" w:rsidR="00081A7C" w:rsidRDefault="00081A7C">
    <w:pPr>
      <w:pStyle w:val="Header"/>
    </w:pPr>
    <w:r>
      <w:rPr>
        <w:noProof/>
      </w:rPr>
      <w:drawing>
        <wp:inline distT="0" distB="0" distL="0" distR="0" wp14:anchorId="74A06F73" wp14:editId="49E09593">
          <wp:extent cx="1883554" cy="91569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74" cy="9403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F6D94"/>
    <w:multiLevelType w:val="hybridMultilevel"/>
    <w:tmpl w:val="E1A888D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97"/>
    <w:rsid w:val="00031268"/>
    <w:rsid w:val="00063706"/>
    <w:rsid w:val="00081A7C"/>
    <w:rsid w:val="000A7500"/>
    <w:rsid w:val="001A408A"/>
    <w:rsid w:val="00314E96"/>
    <w:rsid w:val="003B337B"/>
    <w:rsid w:val="00483BA8"/>
    <w:rsid w:val="004B5863"/>
    <w:rsid w:val="00506E4B"/>
    <w:rsid w:val="00552BFD"/>
    <w:rsid w:val="00565542"/>
    <w:rsid w:val="006A4A21"/>
    <w:rsid w:val="006A6537"/>
    <w:rsid w:val="0070515C"/>
    <w:rsid w:val="00705B2B"/>
    <w:rsid w:val="00737212"/>
    <w:rsid w:val="008B6065"/>
    <w:rsid w:val="00911334"/>
    <w:rsid w:val="009602C8"/>
    <w:rsid w:val="009C2918"/>
    <w:rsid w:val="009E5B88"/>
    <w:rsid w:val="00A27051"/>
    <w:rsid w:val="00A7389B"/>
    <w:rsid w:val="00AD513E"/>
    <w:rsid w:val="00B2418D"/>
    <w:rsid w:val="00B26307"/>
    <w:rsid w:val="00B7363A"/>
    <w:rsid w:val="00BD6749"/>
    <w:rsid w:val="00C04697"/>
    <w:rsid w:val="00C2160E"/>
    <w:rsid w:val="00CA3ABB"/>
    <w:rsid w:val="00CC3D7B"/>
    <w:rsid w:val="00DF18B7"/>
    <w:rsid w:val="00DF689B"/>
    <w:rsid w:val="00F3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A6CA"/>
  <w15:chartTrackingRefBased/>
  <w15:docId w15:val="{9712272A-9043-482A-85FE-F670E2FA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63A"/>
    <w:pPr>
      <w:ind w:left="720"/>
      <w:contextualSpacing/>
    </w:pPr>
  </w:style>
  <w:style w:type="character" w:styleId="CommentReference">
    <w:name w:val="annotation reference"/>
    <w:basedOn w:val="DefaultParagraphFont"/>
    <w:uiPriority w:val="99"/>
    <w:semiHidden/>
    <w:unhideWhenUsed/>
    <w:rsid w:val="009C2918"/>
    <w:rPr>
      <w:sz w:val="16"/>
      <w:szCs w:val="16"/>
    </w:rPr>
  </w:style>
  <w:style w:type="paragraph" w:styleId="CommentText">
    <w:name w:val="annotation text"/>
    <w:basedOn w:val="Normal"/>
    <w:link w:val="CommentTextChar"/>
    <w:uiPriority w:val="99"/>
    <w:semiHidden/>
    <w:unhideWhenUsed/>
    <w:rsid w:val="009C2918"/>
    <w:pPr>
      <w:spacing w:line="240" w:lineRule="auto"/>
    </w:pPr>
    <w:rPr>
      <w:sz w:val="20"/>
      <w:szCs w:val="20"/>
    </w:rPr>
  </w:style>
  <w:style w:type="character" w:customStyle="1" w:styleId="CommentTextChar">
    <w:name w:val="Comment Text Char"/>
    <w:basedOn w:val="DefaultParagraphFont"/>
    <w:link w:val="CommentText"/>
    <w:uiPriority w:val="99"/>
    <w:semiHidden/>
    <w:rsid w:val="009C2918"/>
    <w:rPr>
      <w:sz w:val="20"/>
      <w:szCs w:val="20"/>
    </w:rPr>
  </w:style>
  <w:style w:type="paragraph" w:styleId="CommentSubject">
    <w:name w:val="annotation subject"/>
    <w:basedOn w:val="CommentText"/>
    <w:next w:val="CommentText"/>
    <w:link w:val="CommentSubjectChar"/>
    <w:uiPriority w:val="99"/>
    <w:semiHidden/>
    <w:unhideWhenUsed/>
    <w:rsid w:val="009C2918"/>
    <w:rPr>
      <w:b/>
      <w:bCs/>
    </w:rPr>
  </w:style>
  <w:style w:type="character" w:customStyle="1" w:styleId="CommentSubjectChar">
    <w:name w:val="Comment Subject Char"/>
    <w:basedOn w:val="CommentTextChar"/>
    <w:link w:val="CommentSubject"/>
    <w:uiPriority w:val="99"/>
    <w:semiHidden/>
    <w:rsid w:val="009C2918"/>
    <w:rPr>
      <w:b/>
      <w:bCs/>
      <w:sz w:val="20"/>
      <w:szCs w:val="20"/>
    </w:rPr>
  </w:style>
  <w:style w:type="paragraph" w:styleId="BalloonText">
    <w:name w:val="Balloon Text"/>
    <w:basedOn w:val="Normal"/>
    <w:link w:val="BalloonTextChar"/>
    <w:uiPriority w:val="99"/>
    <w:semiHidden/>
    <w:unhideWhenUsed/>
    <w:rsid w:val="009C2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918"/>
    <w:rPr>
      <w:rFonts w:ascii="Segoe UI" w:hAnsi="Segoe UI" w:cs="Segoe UI"/>
      <w:sz w:val="18"/>
      <w:szCs w:val="18"/>
    </w:rPr>
  </w:style>
  <w:style w:type="paragraph" w:styleId="Header">
    <w:name w:val="header"/>
    <w:basedOn w:val="Normal"/>
    <w:link w:val="HeaderChar"/>
    <w:uiPriority w:val="99"/>
    <w:unhideWhenUsed/>
    <w:rsid w:val="00081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A7C"/>
  </w:style>
  <w:style w:type="paragraph" w:styleId="Footer">
    <w:name w:val="footer"/>
    <w:basedOn w:val="Normal"/>
    <w:link w:val="FooterChar"/>
    <w:uiPriority w:val="99"/>
    <w:unhideWhenUsed/>
    <w:rsid w:val="0008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50FC-F6AF-494F-9A5D-7FCFA3E7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Hiltunen Alexandra</dc:creator>
  <cp:keywords/>
  <dc:description/>
  <cp:lastModifiedBy>Oinonen Krista</cp:lastModifiedBy>
  <cp:revision>4</cp:revision>
  <dcterms:created xsi:type="dcterms:W3CDTF">2021-09-01T06:32:00Z</dcterms:created>
  <dcterms:modified xsi:type="dcterms:W3CDTF">2021-09-01T07:33:00Z</dcterms:modified>
</cp:coreProperties>
</file>