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18179E" w14:paraId="00A9684B" w14:textId="77777777">
        <w:trPr>
          <w:cantSplit/>
          <w:trHeight w:hRule="exact" w:val="851"/>
        </w:trPr>
        <w:tc>
          <w:tcPr>
            <w:tcW w:w="1276" w:type="dxa"/>
            <w:tcBorders>
              <w:bottom w:val="single" w:sz="4" w:space="0" w:color="auto"/>
            </w:tcBorders>
            <w:vAlign w:val="bottom"/>
          </w:tcPr>
          <w:p w14:paraId="2573F9C8" w14:textId="77777777" w:rsidR="008C69AC" w:rsidRDefault="008C69AC">
            <w:pPr>
              <w:spacing w:after="80"/>
            </w:pPr>
          </w:p>
        </w:tc>
        <w:tc>
          <w:tcPr>
            <w:tcW w:w="2268" w:type="dxa"/>
            <w:tcBorders>
              <w:bottom w:val="single" w:sz="4" w:space="0" w:color="auto"/>
            </w:tcBorders>
            <w:vAlign w:val="bottom"/>
          </w:tcPr>
          <w:p w14:paraId="6D422999" w14:textId="6F43F3D7" w:rsidR="008C69AC" w:rsidRDefault="005F2111">
            <w:pPr>
              <w:spacing w:after="80" w:line="300" w:lineRule="exact"/>
              <w:rPr>
                <w:b/>
                <w:sz w:val="24"/>
                <w:szCs w:val="24"/>
              </w:rPr>
            </w:pPr>
            <w:r>
              <w:rPr>
                <w:sz w:val="28"/>
                <w:szCs w:val="28"/>
              </w:rPr>
              <w:t xml:space="preserve"> </w:t>
            </w:r>
          </w:p>
        </w:tc>
        <w:tc>
          <w:tcPr>
            <w:tcW w:w="6095" w:type="dxa"/>
            <w:gridSpan w:val="2"/>
            <w:tcBorders>
              <w:bottom w:val="single" w:sz="4" w:space="0" w:color="auto"/>
            </w:tcBorders>
            <w:vAlign w:val="bottom"/>
          </w:tcPr>
          <w:p w14:paraId="1E42B869" w14:textId="1566B950" w:rsidR="008C69AC" w:rsidRDefault="0049549B">
            <w:pPr>
              <w:suppressAutoHyphens w:val="0"/>
              <w:spacing w:after="20"/>
              <w:jc w:val="right"/>
            </w:pPr>
            <w:r>
              <w:rPr>
                <w:sz w:val="40"/>
              </w:rPr>
              <w:t>CEDAW</w:t>
            </w:r>
            <w:r>
              <w:t>/C/FIN/CO/8</w:t>
            </w:r>
          </w:p>
        </w:tc>
      </w:tr>
      <w:tr w:rsidR="0018179E" w14:paraId="2857D9C6" w14:textId="77777777">
        <w:trPr>
          <w:cantSplit/>
          <w:trHeight w:hRule="exact" w:val="2835"/>
        </w:trPr>
        <w:tc>
          <w:tcPr>
            <w:tcW w:w="1276" w:type="dxa"/>
            <w:tcBorders>
              <w:top w:val="single" w:sz="4" w:space="0" w:color="auto"/>
              <w:bottom w:val="single" w:sz="12" w:space="0" w:color="auto"/>
            </w:tcBorders>
          </w:tcPr>
          <w:p w14:paraId="7E12B80B" w14:textId="1CEE6ADB" w:rsidR="008C69AC" w:rsidRDefault="008C69AC">
            <w:pPr>
              <w:spacing w:before="120"/>
              <w:jc w:val="center"/>
            </w:pPr>
          </w:p>
        </w:tc>
        <w:tc>
          <w:tcPr>
            <w:tcW w:w="5528" w:type="dxa"/>
            <w:gridSpan w:val="2"/>
            <w:tcBorders>
              <w:top w:val="single" w:sz="4" w:space="0" w:color="auto"/>
              <w:bottom w:val="single" w:sz="12" w:space="0" w:color="auto"/>
            </w:tcBorders>
          </w:tcPr>
          <w:p w14:paraId="2F2B840C" w14:textId="5D183545" w:rsidR="008C69AC" w:rsidRDefault="005F2111">
            <w:pPr>
              <w:spacing w:before="120" w:line="380" w:lineRule="exact"/>
              <w:rPr>
                <w:b/>
                <w:sz w:val="34"/>
                <w:szCs w:val="40"/>
              </w:rPr>
            </w:pPr>
            <w:r>
              <w:rPr>
                <w:b/>
                <w:sz w:val="34"/>
                <w:szCs w:val="40"/>
              </w:rPr>
              <w:t>Advance unedited version</w:t>
            </w:r>
          </w:p>
        </w:tc>
        <w:tc>
          <w:tcPr>
            <w:tcW w:w="2835" w:type="dxa"/>
            <w:tcBorders>
              <w:top w:val="single" w:sz="4" w:space="0" w:color="auto"/>
              <w:bottom w:val="single" w:sz="12" w:space="0" w:color="auto"/>
            </w:tcBorders>
          </w:tcPr>
          <w:p w14:paraId="33757DBA" w14:textId="20DFFF17" w:rsidR="008C69AC" w:rsidRDefault="0049549B">
            <w:pPr>
              <w:suppressAutoHyphens w:val="0"/>
              <w:spacing w:before="240" w:line="240" w:lineRule="exact"/>
            </w:pPr>
            <w:r>
              <w:t xml:space="preserve">Distr.: </w:t>
            </w:r>
            <w:r w:rsidR="00D6421F">
              <w:t>General</w:t>
            </w:r>
          </w:p>
          <w:p w14:paraId="3D651958" w14:textId="73455C70" w:rsidR="008C69AC" w:rsidRDefault="002554D6">
            <w:pPr>
              <w:suppressAutoHyphens w:val="0"/>
            </w:pPr>
            <w:r>
              <w:t>31</w:t>
            </w:r>
            <w:r w:rsidR="00132D96">
              <w:t xml:space="preserve"> </w:t>
            </w:r>
            <w:r w:rsidR="002525FA">
              <w:t>October 2022</w:t>
            </w:r>
          </w:p>
          <w:p w14:paraId="6A8A1776" w14:textId="77777777" w:rsidR="008C69AC" w:rsidRDefault="008C69AC">
            <w:pPr>
              <w:suppressAutoHyphens w:val="0"/>
            </w:pPr>
          </w:p>
          <w:p w14:paraId="4EB3098B" w14:textId="77777777" w:rsidR="008C69AC" w:rsidRDefault="0049549B">
            <w:pPr>
              <w:suppressAutoHyphens w:val="0"/>
            </w:pPr>
            <w:r>
              <w:t>Original: English</w:t>
            </w:r>
          </w:p>
          <w:p w14:paraId="4582071E" w14:textId="46F81B30" w:rsidR="008C69AC" w:rsidRDefault="008C69AC">
            <w:pPr>
              <w:suppressAutoHyphens w:val="0"/>
            </w:pPr>
          </w:p>
        </w:tc>
      </w:tr>
    </w:tbl>
    <w:p w14:paraId="4D4A4C88" w14:textId="77777777" w:rsidR="008C69AC" w:rsidRDefault="0049549B">
      <w:pPr>
        <w:spacing w:before="120"/>
        <w:rPr>
          <w:b/>
          <w:sz w:val="24"/>
          <w:szCs w:val="24"/>
        </w:rPr>
      </w:pPr>
      <w:r>
        <w:rPr>
          <w:b/>
          <w:sz w:val="24"/>
          <w:szCs w:val="24"/>
        </w:rPr>
        <w:t xml:space="preserve">Committee on the Elimination of Discrimination </w:t>
      </w:r>
      <w:r>
        <w:rPr>
          <w:b/>
          <w:sz w:val="24"/>
          <w:szCs w:val="24"/>
        </w:rPr>
        <w:br/>
        <w:t>against Women</w:t>
      </w:r>
    </w:p>
    <w:p w14:paraId="00DB012A" w14:textId="77777777" w:rsidR="008C69AC" w:rsidRDefault="0049549B">
      <w:pPr>
        <w:pStyle w:val="HChG"/>
      </w:pPr>
      <w:r>
        <w:tab/>
      </w:r>
      <w:r>
        <w:tab/>
        <w:t>Concluding observations on the eighth periodic report of Finland</w:t>
      </w:r>
      <w:r w:rsidR="00132D96" w:rsidRPr="005F2111">
        <w:rPr>
          <w:rStyle w:val="FootnoteReference"/>
          <w:sz w:val="20"/>
          <w:vertAlign w:val="baseline"/>
        </w:rPr>
        <w:footnoteReference w:customMarkFollows="1" w:id="2"/>
        <w:t>*</w:t>
      </w:r>
    </w:p>
    <w:p w14:paraId="5CEA132D" w14:textId="280244B6" w:rsidR="00D6421F" w:rsidRPr="00EB11E9" w:rsidRDefault="00D6421F" w:rsidP="00132D96">
      <w:pPr>
        <w:pStyle w:val="SingleTxtG"/>
      </w:pPr>
      <w:r w:rsidRPr="00EB11E9">
        <w:t>1.</w:t>
      </w:r>
      <w:r w:rsidRPr="00EB11E9">
        <w:tab/>
        <w:t xml:space="preserve">The Committee considered the </w:t>
      </w:r>
      <w:r>
        <w:t>eighth</w:t>
      </w:r>
      <w:r w:rsidRPr="00EB11E9">
        <w:t xml:space="preserve"> periodic report of </w:t>
      </w:r>
      <w:r>
        <w:t>Finland</w:t>
      </w:r>
      <w:r w:rsidRPr="00EB11E9">
        <w:t xml:space="preserve"> (CEDAW/C/</w:t>
      </w:r>
      <w:r>
        <w:t>FIN</w:t>
      </w:r>
      <w:r w:rsidRPr="00EB11E9">
        <w:t>/</w:t>
      </w:r>
      <w:r>
        <w:t>8</w:t>
      </w:r>
      <w:r w:rsidRPr="00EB11E9">
        <w:t xml:space="preserve">) at its </w:t>
      </w:r>
      <w:r>
        <w:t>1911</w:t>
      </w:r>
      <w:r w:rsidRPr="00EB11E9">
        <w:t xml:space="preserve">th and </w:t>
      </w:r>
      <w:r>
        <w:t>1912</w:t>
      </w:r>
      <w:r w:rsidRPr="00EB11E9">
        <w:t>th meetings (see CEDAW/C/SR.</w:t>
      </w:r>
      <w:r>
        <w:t xml:space="preserve">1911 </w:t>
      </w:r>
      <w:r w:rsidRPr="00EB11E9">
        <w:t xml:space="preserve">and </w:t>
      </w:r>
      <w:r>
        <w:t>1912</w:t>
      </w:r>
      <w:r w:rsidRPr="00EB11E9">
        <w:t xml:space="preserve">) held on </w:t>
      </w:r>
      <w:r>
        <w:t>11 October 2022</w:t>
      </w:r>
      <w:r w:rsidRPr="00EB11E9">
        <w:t>. The Committee’s list of issues and questions is contained in CEDAW/C/</w:t>
      </w:r>
      <w:r>
        <w:t>FIN</w:t>
      </w:r>
      <w:r w:rsidRPr="00EB11E9">
        <w:t>/Q/</w:t>
      </w:r>
      <w:r>
        <w:t>8</w:t>
      </w:r>
      <w:r w:rsidRPr="00EB11E9">
        <w:t xml:space="preserve"> and the responses of </w:t>
      </w:r>
      <w:r>
        <w:t>Finland</w:t>
      </w:r>
      <w:r w:rsidRPr="00EB11E9">
        <w:t xml:space="preserve"> are contained in CEDAW/C/</w:t>
      </w:r>
      <w:r>
        <w:t>FIN</w:t>
      </w:r>
      <w:r w:rsidRPr="00EB11E9">
        <w:t>/RQ/</w:t>
      </w:r>
      <w:r>
        <w:t>8</w:t>
      </w:r>
      <w:r w:rsidRPr="00EB11E9">
        <w:t>.</w:t>
      </w:r>
    </w:p>
    <w:p w14:paraId="1AEE9046" w14:textId="77777777" w:rsidR="00D6421F" w:rsidRPr="00393293" w:rsidRDefault="00D6421F" w:rsidP="00D6421F">
      <w:pPr>
        <w:pStyle w:val="H1G"/>
        <w:rPr>
          <w:lang w:val="en-US"/>
        </w:rPr>
      </w:pPr>
      <w:r>
        <w:rPr>
          <w:lang w:val="en-US"/>
        </w:rPr>
        <w:tab/>
      </w:r>
      <w:r w:rsidRPr="00393293">
        <w:rPr>
          <w:lang w:val="en-US"/>
        </w:rPr>
        <w:t>A.</w:t>
      </w:r>
      <w:r w:rsidRPr="00393293">
        <w:rPr>
          <w:lang w:val="en-US"/>
        </w:rPr>
        <w:tab/>
        <w:t>Introduction</w:t>
      </w:r>
    </w:p>
    <w:p w14:paraId="4D21889F" w14:textId="77777777" w:rsidR="00D6421F" w:rsidRPr="00EB11E9" w:rsidRDefault="00D6421F" w:rsidP="00D6421F">
      <w:pPr>
        <w:pStyle w:val="SingleTxtG"/>
      </w:pPr>
      <w:r w:rsidRPr="00EB11E9">
        <w:t>2.</w:t>
      </w:r>
      <w:r w:rsidRPr="00EB11E9">
        <w:tab/>
        <w:t xml:space="preserve">The Committee appreciates the submission by the State party of its </w:t>
      </w:r>
      <w:r>
        <w:t>eighth</w:t>
      </w:r>
      <w:r w:rsidRPr="00EB11E9">
        <w:t xml:space="preserve"> periodic report, as well as its follow-up report to the previous periodic report (</w:t>
      </w:r>
      <w:r w:rsidRPr="00CC4730">
        <w:t>CEDAW/C/FIN/CO/7/Add.1</w:t>
      </w:r>
      <w:r w:rsidRPr="00EB11E9">
        <w:t xml:space="preserve">). It welcomes the oral presentation by the delegation of </w:t>
      </w:r>
      <w:r>
        <w:t>Finland</w:t>
      </w:r>
      <w:r w:rsidRPr="00EB11E9">
        <w:t xml:space="preserve"> and the further clarifications provided in response to the questions posed orally by the Committee during the dialogue.</w:t>
      </w:r>
    </w:p>
    <w:p w14:paraId="1A8328A3" w14:textId="77777777" w:rsidR="00D6421F" w:rsidRPr="00EB11E9" w:rsidRDefault="00D6421F" w:rsidP="00D6421F">
      <w:pPr>
        <w:pStyle w:val="SingleTxtG"/>
      </w:pPr>
      <w:r w:rsidRPr="00EB11E9">
        <w:t>3.</w:t>
      </w:r>
      <w:r w:rsidRPr="00EB11E9">
        <w:tab/>
        <w:t xml:space="preserve">The Committee commends the </w:t>
      </w:r>
      <w:r>
        <w:t>multi-sectoral</w:t>
      </w:r>
      <w:r w:rsidRPr="00EB11E9">
        <w:t xml:space="preserve"> delegation of the State party, which was headed </w:t>
      </w:r>
      <w:r w:rsidRPr="00A372F2">
        <w:t>by Ms Krista OINONEN, Director of the Unit for Human Rights Courts and Conventions in the Ministry of Foreign Affairs, and included representatives of the Ministry of Justice, the Ministry of the Interior, the Ministry of Defence, the Ministry of Education and Culture, the Ministry of Employment and the Economy, the Ministry of Social Affairs and Health, the Ministry of Foreign Affairs, a representative from the Finnish Parliament; and the Ambassador and Permanent Representative, H</w:t>
      </w:r>
      <w:r>
        <w:t>er</w:t>
      </w:r>
      <w:r w:rsidRPr="00A372F2">
        <w:t xml:space="preserve"> Excellency Mrs. Kirsti Kauppi as well as other delegates of the Permanent Mission of Finland to the United Nations Office and other international organizations in Geneva.</w:t>
      </w:r>
    </w:p>
    <w:p w14:paraId="34BAA5C5" w14:textId="77777777" w:rsidR="00D6421F" w:rsidRPr="00393293" w:rsidRDefault="00D6421F" w:rsidP="00D6421F">
      <w:pPr>
        <w:pStyle w:val="H1G"/>
      </w:pPr>
      <w:r>
        <w:tab/>
      </w:r>
      <w:r w:rsidRPr="00393293">
        <w:t>B.</w:t>
      </w:r>
      <w:r w:rsidRPr="00393293">
        <w:tab/>
      </w:r>
      <w:r w:rsidRPr="009F16AB">
        <w:rPr>
          <w:lang w:val="en-US"/>
        </w:rPr>
        <w:t>Positive</w:t>
      </w:r>
      <w:r w:rsidRPr="00393293">
        <w:t xml:space="preserve"> </w:t>
      </w:r>
      <w:r w:rsidRPr="009F16AB">
        <w:rPr>
          <w:lang w:val="en-US"/>
        </w:rPr>
        <w:t>Aspects</w:t>
      </w:r>
    </w:p>
    <w:p w14:paraId="77764503" w14:textId="77777777" w:rsidR="00D6421F" w:rsidRPr="00EB11E9" w:rsidRDefault="00D6421F" w:rsidP="00D6421F">
      <w:pPr>
        <w:pStyle w:val="SingleTxtG"/>
      </w:pPr>
      <w:r>
        <w:t>4</w:t>
      </w:r>
      <w:r w:rsidRPr="00EB11E9">
        <w:t>.</w:t>
      </w:r>
      <w:r w:rsidRPr="00EB11E9">
        <w:tab/>
        <w:t>The Committee welcomes the progress achieved since the consideration in 201</w:t>
      </w:r>
      <w:r>
        <w:t>4</w:t>
      </w:r>
      <w:r w:rsidRPr="00EB11E9">
        <w:t xml:space="preserve"> of the State party’s </w:t>
      </w:r>
      <w:r>
        <w:t>seventh</w:t>
      </w:r>
      <w:r w:rsidRPr="00EB11E9">
        <w:t xml:space="preserve"> periodic report (CEDAW/C/</w:t>
      </w:r>
      <w:r>
        <w:t>FIN</w:t>
      </w:r>
      <w:r w:rsidRPr="00EB11E9">
        <w:t>/</w:t>
      </w:r>
      <w:r>
        <w:t>7</w:t>
      </w:r>
      <w:r w:rsidRPr="00EB11E9">
        <w:t xml:space="preserve">) in undertaking legislative reforms, </w:t>
      </w:r>
      <w:r>
        <w:t>including the adoption of</w:t>
      </w:r>
      <w:r w:rsidRPr="00EB11E9">
        <w:t xml:space="preserve">: </w:t>
      </w:r>
    </w:p>
    <w:p w14:paraId="0F428B1D" w14:textId="77777777" w:rsidR="00D6421F" w:rsidRDefault="00D6421F" w:rsidP="00D6421F">
      <w:pPr>
        <w:pStyle w:val="SingleTxtG"/>
      </w:pPr>
      <w:r w:rsidRPr="00EB11E9">
        <w:tab/>
        <w:t>(a)</w:t>
      </w:r>
      <w:r>
        <w:tab/>
        <w:t xml:space="preserve">The amendment to </w:t>
      </w:r>
      <w:r w:rsidRPr="00EE4423">
        <w:t>Chapter 20 of the Finnish Criminal Code</w:t>
      </w:r>
      <w:r>
        <w:t xml:space="preserve">, providing that the offence of rape is based on lack of consent </w:t>
      </w:r>
      <w:r w:rsidRPr="00EE4423">
        <w:t>(entry into force January 2023</w:t>
      </w:r>
      <w:r>
        <w:rPr>
          <w:i/>
        </w:rPr>
        <w:t>)</w:t>
      </w:r>
      <w:r w:rsidRPr="003B6359">
        <w:rPr>
          <w:i/>
        </w:rPr>
        <w:t>;</w:t>
      </w:r>
      <w:r>
        <w:t xml:space="preserve"> </w:t>
      </w:r>
    </w:p>
    <w:p w14:paraId="06DF974E" w14:textId="77777777" w:rsidR="00D6421F" w:rsidRDefault="00D6421F" w:rsidP="00D6421F">
      <w:pPr>
        <w:pStyle w:val="SingleTxtG"/>
      </w:pPr>
      <w:r>
        <w:tab/>
        <w:t>(b)</w:t>
      </w:r>
      <w:r>
        <w:tab/>
        <w:t xml:space="preserve">The Family Leave Law, </w:t>
      </w:r>
      <w:r w:rsidRPr="00FA2F25">
        <w:t>which provides equal leave for all parents as well as unpaid carer leave</w:t>
      </w:r>
      <w:r>
        <w:t xml:space="preserve"> (August 2022); </w:t>
      </w:r>
    </w:p>
    <w:p w14:paraId="4ABC2E8D" w14:textId="77777777" w:rsidR="00D6421F" w:rsidRPr="00EB11E9" w:rsidRDefault="00D6421F" w:rsidP="00D6421F">
      <w:pPr>
        <w:pStyle w:val="SingleTxtG"/>
      </w:pPr>
      <w:r>
        <w:tab/>
        <w:t>(c)</w:t>
      </w:r>
      <w:r>
        <w:tab/>
        <w:t xml:space="preserve">The Law </w:t>
      </w:r>
      <w:r w:rsidRPr="001A644F">
        <w:t>concerning the establishment of the post of a rapporteur on violence against women (October 2021</w:t>
      </w:r>
      <w:r>
        <w:t>);</w:t>
      </w:r>
    </w:p>
    <w:p w14:paraId="3052BF4D" w14:textId="77777777" w:rsidR="00D6421F" w:rsidRDefault="00D6421F" w:rsidP="00D6421F">
      <w:pPr>
        <w:pStyle w:val="SingleTxtG"/>
      </w:pPr>
      <w:r w:rsidRPr="00EB11E9">
        <w:lastRenderedPageBreak/>
        <w:tab/>
        <w:t>(</w:t>
      </w:r>
      <w:r>
        <w:t>d</w:t>
      </w:r>
      <w:r w:rsidRPr="00EB11E9">
        <w:t>)</w:t>
      </w:r>
      <w:r>
        <w:tab/>
        <w:t>The Law</w:t>
      </w:r>
      <w:r w:rsidRPr="0092647C">
        <w:t xml:space="preserve"> Amending the Marriage </w:t>
      </w:r>
      <w:r>
        <w:t>Law</w:t>
      </w:r>
      <w:r w:rsidRPr="0092647C">
        <w:t xml:space="preserve"> (234/1929)</w:t>
      </w:r>
      <w:r>
        <w:t>,</w:t>
      </w:r>
      <w:r w:rsidRPr="0092647C">
        <w:t xml:space="preserve"> </w:t>
      </w:r>
      <w:r>
        <w:t>abolishing the dispensation for persons under the age of 18 to marry (</w:t>
      </w:r>
      <w:r w:rsidRPr="0092647C">
        <w:t>June 2019</w:t>
      </w:r>
      <w:r>
        <w:t>);</w:t>
      </w:r>
    </w:p>
    <w:p w14:paraId="7181ABE9" w14:textId="77777777" w:rsidR="00D6421F" w:rsidRPr="00EB11E9" w:rsidRDefault="00D6421F" w:rsidP="00D6421F">
      <w:pPr>
        <w:pStyle w:val="SingleTxtG"/>
      </w:pPr>
      <w:r w:rsidRPr="00EB11E9">
        <w:tab/>
        <w:t>(</w:t>
      </w:r>
      <w:r>
        <w:t>e</w:t>
      </w:r>
      <w:r w:rsidRPr="00EB11E9">
        <w:t>)</w:t>
      </w:r>
      <w:r>
        <w:tab/>
        <w:t>The Maternity Law 2018;</w:t>
      </w:r>
      <w:r w:rsidRPr="00EB11E9">
        <w:t xml:space="preserve"> </w:t>
      </w:r>
    </w:p>
    <w:p w14:paraId="16ACF9AA" w14:textId="77777777" w:rsidR="00D6421F" w:rsidRDefault="00D6421F" w:rsidP="00D6421F">
      <w:pPr>
        <w:pStyle w:val="SingleTxtG"/>
      </w:pPr>
      <w:r w:rsidRPr="00EB11E9">
        <w:tab/>
        <w:t>(</w:t>
      </w:r>
      <w:r>
        <w:t>f</w:t>
      </w:r>
      <w:r w:rsidRPr="00EB11E9">
        <w:t>)</w:t>
      </w:r>
      <w:r>
        <w:tab/>
      </w:r>
      <w:r w:rsidRPr="00A36FE9">
        <w:t xml:space="preserve">Amendments to the </w:t>
      </w:r>
      <w:r>
        <w:t>Law</w:t>
      </w:r>
      <w:r w:rsidRPr="00A36FE9">
        <w:t xml:space="preserve"> on State Compensation to Providers of Shelter Services</w:t>
      </w:r>
      <w:r>
        <w:t xml:space="preserve"> </w:t>
      </w:r>
      <w:r w:rsidRPr="000B1748">
        <w:t xml:space="preserve">(1354/2014) </w:t>
      </w:r>
      <w:r w:rsidRPr="00A36FE9">
        <w:t xml:space="preserve">to fund domestic violence shelters </w:t>
      </w:r>
      <w:r>
        <w:t>from the national budget instead of municipal budgets (2018)</w:t>
      </w:r>
      <w:r w:rsidRPr="00EB11E9">
        <w:t>;</w:t>
      </w:r>
    </w:p>
    <w:p w14:paraId="04F2B784" w14:textId="77777777" w:rsidR="00D6421F" w:rsidRPr="00EB11E9" w:rsidRDefault="00D6421F" w:rsidP="00D6421F">
      <w:pPr>
        <w:pStyle w:val="SingleTxtG"/>
      </w:pPr>
      <w:r>
        <w:tab/>
        <w:t>(g)</w:t>
      </w:r>
      <w:r>
        <w:tab/>
        <w:t xml:space="preserve">The entry into force </w:t>
      </w:r>
      <w:r w:rsidRPr="00BC1A1B">
        <w:t xml:space="preserve">of the </w:t>
      </w:r>
      <w:r>
        <w:t>Law</w:t>
      </w:r>
      <w:r w:rsidRPr="00BC1A1B">
        <w:t xml:space="preserve"> of the Åland national Parliament on </w:t>
      </w:r>
      <w:r>
        <w:t>giving effect to</w:t>
      </w:r>
      <w:r w:rsidRPr="00BC1A1B">
        <w:t xml:space="preserve"> the provisions of the Istanbul Convention</w:t>
      </w:r>
      <w:r>
        <w:t xml:space="preserve"> (1 April 2015)</w:t>
      </w:r>
      <w:r w:rsidRPr="00EB11E9">
        <w:t>;</w:t>
      </w:r>
    </w:p>
    <w:p w14:paraId="6E7704BD" w14:textId="77777777" w:rsidR="00D6421F" w:rsidRPr="00EB11E9" w:rsidRDefault="00D6421F" w:rsidP="00D6421F">
      <w:pPr>
        <w:pStyle w:val="SingleTxtG"/>
      </w:pPr>
      <w:r>
        <w:tab/>
        <w:t>(h)</w:t>
      </w:r>
      <w:r>
        <w:tab/>
        <w:t>Revisions to the Law</w:t>
      </w:r>
      <w:r w:rsidRPr="00076DFB">
        <w:t xml:space="preserve"> on Equality between Women and Men (609/1986; Equality </w:t>
      </w:r>
      <w:r>
        <w:t>Law</w:t>
      </w:r>
      <w:r w:rsidRPr="00076DFB">
        <w:t>)</w:t>
      </w:r>
      <w:r>
        <w:t xml:space="preserve"> adding p</w:t>
      </w:r>
      <w:r w:rsidRPr="008F2CDE">
        <w:t>rovisions on the prohibition of discrimination based on gender identity or gender expression</w:t>
      </w:r>
      <w:r>
        <w:t xml:space="preserve"> (2015).</w:t>
      </w:r>
    </w:p>
    <w:p w14:paraId="66FDB2EE" w14:textId="77777777" w:rsidR="00D6421F" w:rsidRPr="00EB11E9" w:rsidRDefault="00D6421F" w:rsidP="00D6421F">
      <w:pPr>
        <w:pStyle w:val="SingleTxtG"/>
      </w:pPr>
      <w:r>
        <w:t>5</w:t>
      </w:r>
      <w:r w:rsidRPr="00EB11E9">
        <w:t>.</w:t>
      </w:r>
      <w:r w:rsidRPr="00EB11E9">
        <w:tab/>
        <w:t>The Committee welcomes the State party’s efforts to improve its institutional and policy framework aimed at accelerating the elimination of discrimination against women and promoting gender equality, such as the adoption or establishment of the following:</w:t>
      </w:r>
    </w:p>
    <w:p w14:paraId="2DC6406F" w14:textId="77777777" w:rsidR="00D6421F" w:rsidRDefault="00D6421F" w:rsidP="00D6421F">
      <w:pPr>
        <w:pStyle w:val="SingleTxtG"/>
      </w:pPr>
      <w:r w:rsidRPr="00EB11E9">
        <w:tab/>
        <w:t>(a)</w:t>
      </w:r>
      <w:r w:rsidRPr="00EB11E9">
        <w:tab/>
      </w:r>
      <w:r>
        <w:t xml:space="preserve">The Action Plan for the </w:t>
      </w:r>
      <w:r w:rsidRPr="00593B33">
        <w:t xml:space="preserve">Council of Europe Convention on preventing and combating violence against women and domestic violence (Istanbul Convention) </w:t>
      </w:r>
      <w:r>
        <w:t>2022- 2025;</w:t>
      </w:r>
    </w:p>
    <w:p w14:paraId="29A2B259" w14:textId="77777777" w:rsidR="00D6421F" w:rsidRDefault="00D6421F" w:rsidP="00D6421F">
      <w:pPr>
        <w:pStyle w:val="SingleTxtG"/>
      </w:pPr>
      <w:r>
        <w:tab/>
        <w:t>(b)</w:t>
      </w:r>
      <w:r>
        <w:tab/>
      </w:r>
      <w:r w:rsidRPr="003416E5">
        <w:t>Action Plan against Trafficking in Human Beings (2021-2023)</w:t>
      </w:r>
      <w:r>
        <w:t>;</w:t>
      </w:r>
      <w:r w:rsidRPr="00405234">
        <w:t xml:space="preserve"> </w:t>
      </w:r>
    </w:p>
    <w:p w14:paraId="61A0D9DF" w14:textId="77777777" w:rsidR="00D6421F" w:rsidRDefault="00D6421F" w:rsidP="00D6421F">
      <w:pPr>
        <w:pStyle w:val="SingleTxtG"/>
      </w:pPr>
      <w:r>
        <w:tab/>
        <w:t>(c)</w:t>
      </w:r>
      <w:r>
        <w:tab/>
        <w:t>The Government Action Plan for Gender Equality 2020–2023 (</w:t>
      </w:r>
      <w:r w:rsidRPr="001E0D43">
        <w:t>25 June 2020</w:t>
      </w:r>
      <w:r>
        <w:t>), which coordinates the gender equality policy of the Finnish government;</w:t>
      </w:r>
    </w:p>
    <w:p w14:paraId="72D31C2C" w14:textId="77777777" w:rsidR="00D6421F" w:rsidRDefault="00D6421F" w:rsidP="00D6421F">
      <w:pPr>
        <w:pStyle w:val="SingleTxtG"/>
      </w:pPr>
      <w:r w:rsidRPr="00EB11E9">
        <w:tab/>
        <w:t>(</w:t>
      </w:r>
      <w:r>
        <w:t>d</w:t>
      </w:r>
      <w:r w:rsidRPr="00EB11E9">
        <w:t>)</w:t>
      </w:r>
      <w:r>
        <w:tab/>
        <w:t>The Equal Pay Programme (2020-2023);</w:t>
      </w:r>
    </w:p>
    <w:p w14:paraId="27ECADDC" w14:textId="77777777" w:rsidR="00D6421F" w:rsidRDefault="00D6421F" w:rsidP="00D6421F">
      <w:pPr>
        <w:pStyle w:val="SingleTxtG"/>
      </w:pPr>
      <w:r>
        <w:tab/>
        <w:t>(e)</w:t>
      </w:r>
      <w:r>
        <w:tab/>
      </w:r>
      <w:r w:rsidRPr="00B96876">
        <w:t xml:space="preserve">Action Plan for Combating Violence Against Women </w:t>
      </w:r>
      <w:r>
        <w:t>(</w:t>
      </w:r>
      <w:r w:rsidRPr="00B96876">
        <w:t>October 2020</w:t>
      </w:r>
      <w:r>
        <w:t>)</w:t>
      </w:r>
      <w:r w:rsidRPr="00B96876">
        <w:t>;</w:t>
      </w:r>
    </w:p>
    <w:p w14:paraId="3DD69DB9" w14:textId="77777777" w:rsidR="00D6421F" w:rsidRDefault="00D6421F" w:rsidP="00D6421F">
      <w:pPr>
        <w:pStyle w:val="SingleTxtG"/>
      </w:pPr>
      <w:r>
        <w:tab/>
        <w:t>(f)</w:t>
      </w:r>
      <w:r>
        <w:tab/>
        <w:t>The</w:t>
      </w:r>
      <w:r w:rsidRPr="00C62F20">
        <w:t xml:space="preserve"> Åland </w:t>
      </w:r>
      <w:r>
        <w:t>island</w:t>
      </w:r>
      <w:r w:rsidRPr="00C62F20">
        <w:t xml:space="preserve"> strategy on zero tolerance towards violence in intimate relationships (2020–2030)</w:t>
      </w:r>
      <w:r>
        <w:t>;</w:t>
      </w:r>
    </w:p>
    <w:p w14:paraId="6D6DA303" w14:textId="77777777" w:rsidR="00D6421F" w:rsidRDefault="00D6421F" w:rsidP="00D6421F">
      <w:pPr>
        <w:pStyle w:val="SingleTxtG"/>
      </w:pPr>
      <w:r w:rsidRPr="00EB11E9">
        <w:tab/>
        <w:t>(</w:t>
      </w:r>
      <w:r>
        <w:t>g</w:t>
      </w:r>
      <w:r w:rsidRPr="00EB11E9">
        <w:t>)</w:t>
      </w:r>
      <w:r w:rsidRPr="00EB11E9">
        <w:tab/>
      </w:r>
      <w:r>
        <w:t>Th</w:t>
      </w:r>
      <w:r w:rsidRPr="00076DFB">
        <w:t>e Åland Islands gender equality agenda for 2019–2030</w:t>
      </w:r>
      <w:r w:rsidRPr="00EB11E9">
        <w:t>;</w:t>
      </w:r>
    </w:p>
    <w:p w14:paraId="22139E02" w14:textId="77777777" w:rsidR="00D6421F" w:rsidRDefault="00D6421F" w:rsidP="00D6421F">
      <w:pPr>
        <w:pStyle w:val="SingleTxtG"/>
      </w:pPr>
      <w:r>
        <w:tab/>
        <w:t>(h)</w:t>
      </w:r>
      <w:r>
        <w:tab/>
        <w:t>The revised</w:t>
      </w:r>
      <w:r w:rsidRPr="00E04EBC">
        <w:t xml:space="preserve"> Defence Forces’ national plan for gender equality and non-discrimination </w:t>
      </w:r>
      <w:r>
        <w:t>(</w:t>
      </w:r>
      <w:r w:rsidRPr="00E04EBC">
        <w:t>2017</w:t>
      </w:r>
      <w:r>
        <w:t>);</w:t>
      </w:r>
    </w:p>
    <w:p w14:paraId="65A16633" w14:textId="77777777" w:rsidR="00D6421F" w:rsidRDefault="00D6421F" w:rsidP="00D6421F">
      <w:pPr>
        <w:pStyle w:val="SingleTxtG"/>
      </w:pPr>
      <w:r>
        <w:tab/>
        <w:t>(i)</w:t>
      </w:r>
      <w:r>
        <w:tab/>
        <w:t>Establishment of the</w:t>
      </w:r>
      <w:r w:rsidRPr="00274A72">
        <w:t xml:space="preserve"> Committee for Combating Violence against Women and Domestic Violence (NAPE), has been set by a Government Decree (1008/2016)</w:t>
      </w:r>
      <w:r w:rsidRPr="00EB11E9">
        <w:t>;</w:t>
      </w:r>
    </w:p>
    <w:p w14:paraId="7BDAAA8F" w14:textId="77777777" w:rsidR="00D6421F" w:rsidRDefault="00D6421F" w:rsidP="00D6421F">
      <w:pPr>
        <w:pStyle w:val="SingleTxtG"/>
      </w:pPr>
      <w:r>
        <w:tab/>
        <w:t>(j)</w:t>
      </w:r>
      <w:r>
        <w:tab/>
        <w:t>Establishment of the Ombudsman for Non-Discrimination in 2015;</w:t>
      </w:r>
    </w:p>
    <w:p w14:paraId="0ECE2FB5" w14:textId="77777777" w:rsidR="00D6421F" w:rsidRPr="00EB11E9" w:rsidRDefault="00D6421F" w:rsidP="00D6421F">
      <w:pPr>
        <w:pStyle w:val="SingleTxtG"/>
      </w:pPr>
      <w:r>
        <w:tab/>
        <w:t>(k)</w:t>
      </w:r>
      <w:r>
        <w:tab/>
      </w:r>
      <w:r w:rsidRPr="00A14906">
        <w:t xml:space="preserve">The post of Government Anti-Trafficking Coordinator </w:t>
      </w:r>
      <w:r>
        <w:t>(</w:t>
      </w:r>
      <w:r w:rsidRPr="00A14906">
        <w:t>2014</w:t>
      </w:r>
      <w:r>
        <w:t>).</w:t>
      </w:r>
    </w:p>
    <w:p w14:paraId="1708DAB2" w14:textId="77777777" w:rsidR="00D6421F" w:rsidRPr="00EB11E9" w:rsidRDefault="00D6421F" w:rsidP="00D6421F">
      <w:pPr>
        <w:pStyle w:val="SingleTxtG"/>
      </w:pPr>
      <w:r>
        <w:t>6</w:t>
      </w:r>
      <w:r w:rsidRPr="00EB11E9">
        <w:t>.</w:t>
      </w:r>
      <w:r w:rsidRPr="00EB11E9">
        <w:tab/>
        <w:t xml:space="preserve">The Committee welcomes the fact that, in the period since the consideration of the previous report, the State party has ratified </w:t>
      </w:r>
      <w:r>
        <w:t xml:space="preserve">or acceded to </w:t>
      </w:r>
      <w:r w:rsidRPr="00EB11E9">
        <w:t>the following international treaties:</w:t>
      </w:r>
    </w:p>
    <w:p w14:paraId="49BA8B05" w14:textId="77777777" w:rsidR="00D6421F" w:rsidRPr="00EB11E9" w:rsidRDefault="00D6421F" w:rsidP="00D6421F">
      <w:pPr>
        <w:pStyle w:val="SingleTxtG"/>
      </w:pPr>
      <w:r w:rsidRPr="00EB11E9">
        <w:tab/>
        <w:t>(a)</w:t>
      </w:r>
      <w:r>
        <w:tab/>
        <w:t>The Convention on the Rights of Persons with Disabilities (2016)</w:t>
      </w:r>
      <w:r w:rsidRPr="00EB11E9">
        <w:t>;</w:t>
      </w:r>
    </w:p>
    <w:p w14:paraId="14742D0A" w14:textId="77777777" w:rsidR="00D6421F" w:rsidRDefault="00D6421F" w:rsidP="00D6421F">
      <w:pPr>
        <w:pStyle w:val="SingleTxtG"/>
      </w:pPr>
      <w:r w:rsidRPr="00EB11E9">
        <w:tab/>
        <w:t>(</w:t>
      </w:r>
      <w:r>
        <w:t>b)</w:t>
      </w:r>
      <w:r>
        <w:tab/>
        <w:t>T</w:t>
      </w:r>
      <w:r w:rsidRPr="00144AF5">
        <w:t>he Domestic Workers Convention, 2011 (No. 189) of the International Labour Organization, in 201</w:t>
      </w:r>
      <w:r>
        <w:t>6;</w:t>
      </w:r>
    </w:p>
    <w:p w14:paraId="47F09387" w14:textId="77777777" w:rsidR="00D6421F" w:rsidRPr="00EB11E9" w:rsidRDefault="00D6421F" w:rsidP="00D6421F">
      <w:pPr>
        <w:pStyle w:val="SingleTxtG"/>
      </w:pPr>
      <w:r>
        <w:tab/>
        <w:t>(c)</w:t>
      </w:r>
      <w:r>
        <w:tab/>
        <w:t>T</w:t>
      </w:r>
      <w:r w:rsidRPr="00274A72">
        <w:t xml:space="preserve">he Council of Europe Convention on preventing and combating violence against women and domestic violence </w:t>
      </w:r>
      <w:r>
        <w:t>(</w:t>
      </w:r>
      <w:r w:rsidRPr="00274A72">
        <w:t>August 2015</w:t>
      </w:r>
      <w:r>
        <w:t>)</w:t>
      </w:r>
      <w:r w:rsidRPr="00274A72">
        <w:t>.</w:t>
      </w:r>
    </w:p>
    <w:p w14:paraId="7358730A" w14:textId="77777777" w:rsidR="00D6421F" w:rsidRPr="00393293" w:rsidRDefault="00D6421F" w:rsidP="00D6421F">
      <w:pPr>
        <w:pStyle w:val="H1G"/>
      </w:pPr>
      <w:r>
        <w:tab/>
      </w:r>
      <w:r w:rsidRPr="00393293">
        <w:t>C</w:t>
      </w:r>
      <w:r w:rsidRPr="00EB11E9">
        <w:t>.</w:t>
      </w:r>
      <w:r w:rsidRPr="00EB11E9">
        <w:tab/>
        <w:t>Sustainable Development Goals</w:t>
      </w:r>
    </w:p>
    <w:p w14:paraId="23422E09" w14:textId="77777777" w:rsidR="00D6421F" w:rsidRPr="00EB11E9" w:rsidRDefault="00D6421F" w:rsidP="00D6421F">
      <w:pPr>
        <w:pStyle w:val="SingleTxtG"/>
      </w:pPr>
      <w:r>
        <w:t>7</w:t>
      </w:r>
      <w:r w:rsidRPr="00EB11E9">
        <w:t>.</w:t>
      </w:r>
      <w:r w:rsidRPr="00EB11E9">
        <w:tab/>
      </w:r>
      <w:r w:rsidRPr="00D20F03">
        <w:rPr>
          <w:b/>
        </w:rPr>
        <w:t xml:space="preserve">The Committee welcomes the international support for the Sustainable Development Goals and calls for the realization of de jure (legal) and de facto (substantive) gender equality, in accordance with the provisions of the Convention, throughout the process of implementing the 2030 Agenda for Sustainable Development. The Committee recalls the importance of Goal 5 and of the mainstreaming of the principles of equality and non-discrimination throughout all 17 Goals. It urges the State party to recognize that women and men bear equal responsibilities in the realization of </w:t>
      </w:r>
      <w:r w:rsidRPr="00D20F03">
        <w:rPr>
          <w:b/>
        </w:rPr>
        <w:lastRenderedPageBreak/>
        <w:t>sustainable development and that women and men should be considered equally as driving forces of the sustainable development of the State party, and to adopt relevant policies and strategies to that effect.</w:t>
      </w:r>
    </w:p>
    <w:p w14:paraId="3CECDC39" w14:textId="77777777" w:rsidR="00D6421F" w:rsidRPr="00393293" w:rsidRDefault="00D6421F" w:rsidP="00D6421F">
      <w:pPr>
        <w:pStyle w:val="H1G"/>
      </w:pPr>
      <w:r>
        <w:tab/>
        <w:t>D.</w:t>
      </w:r>
      <w:r>
        <w:tab/>
      </w:r>
      <w:r w:rsidRPr="009F16AB">
        <w:rPr>
          <w:lang w:val="en-US"/>
        </w:rPr>
        <w:t>Parliament</w:t>
      </w:r>
    </w:p>
    <w:p w14:paraId="65C93F16" w14:textId="77777777" w:rsidR="00D6421F" w:rsidRPr="00393293" w:rsidRDefault="00D6421F" w:rsidP="00D6421F">
      <w:pPr>
        <w:pStyle w:val="SingleTxtG"/>
        <w:tabs>
          <w:tab w:val="clear" w:pos="2268"/>
        </w:tabs>
        <w:rPr>
          <w:b/>
          <w:lang w:val="en-US"/>
        </w:rPr>
      </w:pPr>
      <w:r>
        <w:rPr>
          <w:lang w:val="en-US"/>
        </w:rPr>
        <w:t>8</w:t>
      </w:r>
      <w:r w:rsidRPr="00393293">
        <w:rPr>
          <w:lang w:val="en-US"/>
        </w:rPr>
        <w:t>.</w:t>
      </w:r>
      <w:r w:rsidRPr="00393293">
        <w:rPr>
          <w:lang w:val="en-US"/>
        </w:rPr>
        <w:tab/>
      </w:r>
      <w:r w:rsidRPr="00EB11E9">
        <w:rPr>
          <w:b/>
        </w:rPr>
        <w:t>The Committee stresses the crucial role of the legislative power in ensuring the full implementation of the Convention (see the statement by the Committee on its relationship with parliamentarians, annex VI to E/CN.6/2010/CRP.2). It invites the</w:t>
      </w:r>
      <w:r>
        <w:rPr>
          <w:b/>
        </w:rPr>
        <w:t xml:space="preserve"> E</w:t>
      </w:r>
      <w:r w:rsidRPr="006E7960">
        <w:rPr>
          <w:b/>
        </w:rPr>
        <w:t>duskunta</w:t>
      </w:r>
      <w:r w:rsidRPr="00EB11E9">
        <w:rPr>
          <w:b/>
        </w:rPr>
        <w:t xml:space="preserve">, in line with </w:t>
      </w:r>
      <w:r>
        <w:rPr>
          <w:b/>
        </w:rPr>
        <w:t>its</w:t>
      </w:r>
      <w:r w:rsidRPr="00EB11E9">
        <w:rPr>
          <w:b/>
        </w:rPr>
        <w:t xml:space="preserve"> mandate, to take necessary steps regarding the implementation of the present concluding observations between now and the submission of the next periodic report under the Convention.  </w:t>
      </w:r>
    </w:p>
    <w:p w14:paraId="74861AA9" w14:textId="77777777" w:rsidR="00D6421F" w:rsidRPr="00393293" w:rsidRDefault="00D6421F" w:rsidP="00D6421F">
      <w:pPr>
        <w:pStyle w:val="H1G"/>
      </w:pPr>
      <w:r>
        <w:tab/>
      </w:r>
      <w:r w:rsidRPr="00393293">
        <w:t>E.</w:t>
      </w:r>
      <w:r>
        <w:tab/>
      </w:r>
      <w:r w:rsidRPr="009F16AB">
        <w:rPr>
          <w:lang w:val="en-US"/>
        </w:rPr>
        <w:t>Principal</w:t>
      </w:r>
      <w:r w:rsidRPr="00393293">
        <w:t xml:space="preserve"> areas of concern and recommendations</w:t>
      </w:r>
    </w:p>
    <w:p w14:paraId="57B9C645" w14:textId="77777777" w:rsidR="00D6421F" w:rsidRPr="00952B06" w:rsidRDefault="00D6421F" w:rsidP="00D6421F">
      <w:pPr>
        <w:pStyle w:val="H23G"/>
      </w:pPr>
      <w:r>
        <w:tab/>
      </w:r>
      <w:r>
        <w:tab/>
      </w:r>
      <w:r w:rsidRPr="00EB0490">
        <w:t>Women’s rights and gender equality in relation to the coronavirus disease pandemic and recovery efforts</w:t>
      </w:r>
    </w:p>
    <w:p w14:paraId="0CF82F18" w14:textId="77777777" w:rsidR="00D6421F" w:rsidRPr="00EB0490" w:rsidRDefault="00D6421F" w:rsidP="00D6421F">
      <w:pPr>
        <w:pStyle w:val="SingleTxtG"/>
        <w:tabs>
          <w:tab w:val="clear" w:pos="2268"/>
        </w:tabs>
      </w:pPr>
      <w:r>
        <w:t>9.</w:t>
      </w:r>
      <w:r w:rsidRPr="00EB0490">
        <w:tab/>
        <w:t>The Committee</w:t>
      </w:r>
      <w:r w:rsidRPr="00F54B37">
        <w:t xml:space="preserve"> </w:t>
      </w:r>
      <w:r>
        <w:t>takes note of the government research</w:t>
      </w:r>
      <w:r w:rsidRPr="00F54B37">
        <w:t xml:space="preserve"> project on the impact of the pandemic on gender equality in the labour market, the economy</w:t>
      </w:r>
      <w:r>
        <w:t xml:space="preserve"> and in relation to</w:t>
      </w:r>
      <w:r w:rsidRPr="00F54B37">
        <w:t xml:space="preserve"> wellbeing and health</w:t>
      </w:r>
      <w:r>
        <w:t xml:space="preserve">.  The Committee expresses concern, however, at reports that the pandemic resulted in a </w:t>
      </w:r>
      <w:r w:rsidRPr="002C446B">
        <w:t xml:space="preserve">decrease in employment particularly </w:t>
      </w:r>
      <w:r>
        <w:t>within</w:t>
      </w:r>
      <w:r w:rsidRPr="002C446B">
        <w:t xml:space="preserve"> female-dominated industries, such as services and tourism</w:t>
      </w:r>
      <w:r>
        <w:t xml:space="preserve">. </w:t>
      </w:r>
    </w:p>
    <w:p w14:paraId="28336005" w14:textId="77777777" w:rsidR="00D6421F" w:rsidRPr="00EB0490" w:rsidRDefault="00D6421F" w:rsidP="00D6421F">
      <w:pPr>
        <w:pStyle w:val="SingleTxtG"/>
        <w:rPr>
          <w:b/>
          <w:bCs/>
        </w:rPr>
      </w:pPr>
      <w:r w:rsidRPr="00EB11E9">
        <w:t>1</w:t>
      </w:r>
      <w:r>
        <w:t>0</w:t>
      </w:r>
      <w:r w:rsidRPr="00EB11E9">
        <w:t>.</w:t>
      </w:r>
      <w:r w:rsidRPr="00EB11E9">
        <w:tab/>
      </w:r>
      <w:r w:rsidRPr="00EB0490">
        <w:rPr>
          <w:b/>
        </w:rPr>
        <w:t>The Committee, in line with its guidance note on the obligations of States parties to the Convention in the context of COVID-19, issued on 22 April 2020, recommends that the State party:</w:t>
      </w:r>
      <w:r w:rsidRPr="00EB0490">
        <w:rPr>
          <w:b/>
          <w:bCs/>
        </w:rPr>
        <w:t xml:space="preserve"> </w:t>
      </w:r>
    </w:p>
    <w:p w14:paraId="55F7716A" w14:textId="77777777" w:rsidR="00D6421F" w:rsidRPr="00EB11E9" w:rsidRDefault="00D6421F" w:rsidP="00D6421F">
      <w:pPr>
        <w:pStyle w:val="SingleTxtG"/>
      </w:pPr>
      <w:r w:rsidRPr="00EB11E9">
        <w:tab/>
        <w:t>(a)</w:t>
      </w:r>
      <w:r>
        <w:tab/>
      </w:r>
      <w:r w:rsidRPr="00EB0490">
        <w:rPr>
          <w:b/>
          <w:bCs/>
        </w:rPr>
        <w:t>Implement institutional, legislative and policy measures to redress long-standing inequalities between women and men and to give renewed impetus to the achievement of gender equality by placing women at the centre of COVID</w:t>
      </w:r>
      <w:r w:rsidRPr="00EB0490">
        <w:rPr>
          <w:b/>
          <w:bCs/>
        </w:rPr>
        <w:noBreakHyphen/>
        <w:t>19 recovery strategies as a strategic priority for sustainable change, in line with the Sustainable Development Goals</w:t>
      </w:r>
      <w:r w:rsidRPr="00EB11E9">
        <w:rPr>
          <w:b/>
        </w:rPr>
        <w:t>;</w:t>
      </w:r>
    </w:p>
    <w:p w14:paraId="10C6C1EF" w14:textId="77777777" w:rsidR="00D6421F" w:rsidRPr="00EB11E9" w:rsidRDefault="00D6421F" w:rsidP="00D6421F">
      <w:pPr>
        <w:pStyle w:val="SingleTxtG"/>
        <w:rPr>
          <w:b/>
        </w:rPr>
      </w:pPr>
      <w:r w:rsidRPr="00EB11E9">
        <w:tab/>
        <w:t>(b)</w:t>
      </w:r>
      <w:r>
        <w:rPr>
          <w:b/>
        </w:rPr>
        <w:tab/>
        <w:t xml:space="preserve">Ensure </w:t>
      </w:r>
      <w:r w:rsidRPr="00D406CA">
        <w:rPr>
          <w:b/>
        </w:rPr>
        <w:t>the equal participation of women and girls, including disadvantaged and marginalised groups of women, in the State party’s official national rec</w:t>
      </w:r>
      <w:r>
        <w:rPr>
          <w:b/>
        </w:rPr>
        <w:t>overy programmes and strategies</w:t>
      </w:r>
      <w:r w:rsidRPr="00EB11E9">
        <w:rPr>
          <w:b/>
        </w:rPr>
        <w:t>;</w:t>
      </w:r>
    </w:p>
    <w:p w14:paraId="340A99CF" w14:textId="77777777" w:rsidR="00D6421F" w:rsidRPr="00EB11E9" w:rsidRDefault="00D6421F" w:rsidP="00D6421F">
      <w:pPr>
        <w:pStyle w:val="SingleTxtG"/>
      </w:pPr>
      <w:r w:rsidRPr="00EB11E9">
        <w:tab/>
        <w:t>(c)</w:t>
      </w:r>
      <w:r>
        <w:tab/>
      </w:r>
      <w:r w:rsidRPr="00D406CA">
        <w:rPr>
          <w:b/>
          <w:bCs/>
        </w:rPr>
        <w:t>Ensure that women and girls benefit from stimulus packages, including financial support for unpaid care work, aimed at mitigating the socioeconomic impact of the pandemic</w:t>
      </w:r>
      <w:r w:rsidRPr="00EB11E9">
        <w:rPr>
          <w:b/>
        </w:rPr>
        <w:t>;</w:t>
      </w:r>
    </w:p>
    <w:p w14:paraId="15BB6594" w14:textId="77777777" w:rsidR="00D6421F" w:rsidRPr="00EB11E9" w:rsidRDefault="00D6421F" w:rsidP="00D6421F">
      <w:pPr>
        <w:pStyle w:val="SingleTxtG"/>
        <w:rPr>
          <w:b/>
        </w:rPr>
      </w:pPr>
      <w:r w:rsidRPr="00707D41">
        <w:tab/>
      </w:r>
      <w:r w:rsidRPr="00DE2E30">
        <w:t>(</w:t>
      </w:r>
      <w:r>
        <w:t>d</w:t>
      </w:r>
      <w:r w:rsidRPr="00DE2E30">
        <w:t>)</w:t>
      </w:r>
      <w:r w:rsidRPr="00DE2E30">
        <w:tab/>
      </w:r>
      <w:r w:rsidRPr="00EB11E9">
        <w:rPr>
          <w:b/>
        </w:rPr>
        <w:t xml:space="preserve">Ensure </w:t>
      </w:r>
      <w:r>
        <w:rPr>
          <w:b/>
        </w:rPr>
        <w:t>that</w:t>
      </w:r>
      <w:r w:rsidRPr="00EB11E9">
        <w:rPr>
          <w:b/>
        </w:rPr>
        <w:t xml:space="preserve"> </w:t>
      </w:r>
      <w:r>
        <w:rPr>
          <w:b/>
        </w:rPr>
        <w:t xml:space="preserve">gender </w:t>
      </w:r>
      <w:r w:rsidRPr="00EB11E9">
        <w:rPr>
          <w:b/>
        </w:rPr>
        <w:t xml:space="preserve">equality and non-discrimination </w:t>
      </w:r>
      <w:r>
        <w:rPr>
          <w:b/>
        </w:rPr>
        <w:t xml:space="preserve">are primary considerations </w:t>
      </w:r>
      <w:r w:rsidRPr="00EB11E9">
        <w:rPr>
          <w:b/>
        </w:rPr>
        <w:t xml:space="preserve">in the allocation of funds under the Next Generation EU recovery plan. </w:t>
      </w:r>
    </w:p>
    <w:p w14:paraId="5134AE44" w14:textId="77777777" w:rsidR="00D6421F" w:rsidRPr="00393293" w:rsidRDefault="00D6421F" w:rsidP="00D6421F">
      <w:pPr>
        <w:pStyle w:val="H23G"/>
      </w:pPr>
      <w:r w:rsidRPr="00EB11E9">
        <w:tab/>
      </w:r>
      <w:r w:rsidRPr="00EB11E9">
        <w:tab/>
        <w:t>Visibility of the Convention, the Optional Protocol and the Committee’s general recommendations</w:t>
      </w:r>
      <w:r w:rsidRPr="00393293">
        <w:t xml:space="preserve"> </w:t>
      </w:r>
    </w:p>
    <w:p w14:paraId="6D0E35D3" w14:textId="77777777" w:rsidR="00D6421F" w:rsidRPr="00EB11E9" w:rsidRDefault="00D6421F" w:rsidP="00D6421F">
      <w:pPr>
        <w:pStyle w:val="SingleTxtG"/>
      </w:pPr>
      <w:r w:rsidRPr="00EB11E9">
        <w:t>1</w:t>
      </w:r>
      <w:r>
        <w:t>1</w:t>
      </w:r>
      <w:r w:rsidRPr="00EB11E9">
        <w:t>.</w:t>
      </w:r>
      <w:r w:rsidRPr="00EB11E9">
        <w:tab/>
        <w:t xml:space="preserve">The Committee </w:t>
      </w:r>
      <w:r>
        <w:t xml:space="preserve">welcomes the information that </w:t>
      </w:r>
      <w:r w:rsidRPr="000D419E">
        <w:t xml:space="preserve">the </w:t>
      </w:r>
      <w:r>
        <w:t xml:space="preserve">Committee’s </w:t>
      </w:r>
      <w:r w:rsidRPr="000D419E">
        <w:t xml:space="preserve">concluding observations are directly distributed to the President of the Republic, Parliament, the ministries, the supreme court, the National Human Rights Institution, special ombudsmen, advisory boards, the Association of Finnish Local and Regional Authorities, the Åland Government, churches, religious communities, human rights institutes at universities and numerous </w:t>
      </w:r>
      <w:r>
        <w:t>civil society organizations. It also notes that the State party has provided capacity building programmes for prosecutors, the police, other law enforcement officers, teachers and military conscripts. It nevertheless regrets the absence of information on the inclusion of specific information on the Convention</w:t>
      </w:r>
      <w:r w:rsidRPr="00EB11E9">
        <w:t xml:space="preserve"> </w:t>
      </w:r>
      <w:r w:rsidRPr="00383BD2">
        <w:t>and the Committee’s views under the Optional Protocol thereto, as well as the Committee’s general recommendations</w:t>
      </w:r>
      <w:r w:rsidRPr="00383BD2" w:rsidDel="00C60479">
        <w:t xml:space="preserve"> </w:t>
      </w:r>
      <w:r>
        <w:t xml:space="preserve">in such programmes. The Committee is concerned that the formats in which information related to the Convention is made available may exclude certain groups, such as migrant women who do not speak or </w:t>
      </w:r>
      <w:r>
        <w:lastRenderedPageBreak/>
        <w:t>read the national languages</w:t>
      </w:r>
      <w:r w:rsidRPr="0060558A">
        <w:t xml:space="preserve"> </w:t>
      </w:r>
      <w:r>
        <w:t xml:space="preserve">and may therefore not be </w:t>
      </w:r>
      <w:r w:rsidRPr="0060558A">
        <w:t>aware of their rights under the Convention or the remedies available to them</w:t>
      </w:r>
      <w:r w:rsidRPr="00EB11E9">
        <w:t>.</w:t>
      </w:r>
      <w:r>
        <w:t xml:space="preserve"> </w:t>
      </w:r>
    </w:p>
    <w:p w14:paraId="5533D8A9" w14:textId="77777777" w:rsidR="00D6421F" w:rsidRPr="00EB11E9" w:rsidRDefault="00D6421F" w:rsidP="00D6421F">
      <w:pPr>
        <w:pStyle w:val="SingleTxtG"/>
      </w:pPr>
      <w:r w:rsidRPr="00EB11E9">
        <w:t>1</w:t>
      </w:r>
      <w:r>
        <w:t>2</w:t>
      </w:r>
      <w:r w:rsidRPr="00EB11E9">
        <w:t>.</w:t>
      </w:r>
      <w:r w:rsidRPr="00EB11E9">
        <w:tab/>
      </w:r>
      <w:r w:rsidRPr="00EB11E9">
        <w:rPr>
          <w:b/>
        </w:rPr>
        <w:t xml:space="preserve">Recalling its previous </w:t>
      </w:r>
      <w:r>
        <w:rPr>
          <w:b/>
        </w:rPr>
        <w:t>concluding observations</w:t>
      </w:r>
      <w:r w:rsidRPr="00EB11E9">
        <w:rPr>
          <w:b/>
        </w:rPr>
        <w:t xml:space="preserve"> (CEDAW/C/</w:t>
      </w:r>
      <w:r>
        <w:rPr>
          <w:b/>
        </w:rPr>
        <w:t>FIN</w:t>
      </w:r>
      <w:r w:rsidRPr="00EB11E9">
        <w:rPr>
          <w:b/>
        </w:rPr>
        <w:t>/CO/</w:t>
      </w:r>
      <w:r>
        <w:rPr>
          <w:b/>
        </w:rPr>
        <w:t>7</w:t>
      </w:r>
      <w:r w:rsidRPr="00EB11E9">
        <w:rPr>
          <w:b/>
        </w:rPr>
        <w:t xml:space="preserve">, para. </w:t>
      </w:r>
      <w:r>
        <w:rPr>
          <w:b/>
        </w:rPr>
        <w:t>9</w:t>
      </w:r>
      <w:r w:rsidRPr="00EB11E9">
        <w:rPr>
          <w:b/>
        </w:rPr>
        <w:t>), the Committee recommends that the State party</w:t>
      </w:r>
      <w:r w:rsidRPr="00C60479">
        <w:rPr>
          <w:b/>
          <w:bCs/>
        </w:rPr>
        <w:t xml:space="preserve"> </w:t>
      </w:r>
      <w:r>
        <w:rPr>
          <w:b/>
          <w:bCs/>
        </w:rPr>
        <w:t xml:space="preserve">further strengthen its efforts </w:t>
      </w:r>
      <w:r w:rsidRPr="00C60479">
        <w:rPr>
          <w:b/>
          <w:bCs/>
        </w:rPr>
        <w:t xml:space="preserve">to make widely known and give publicity to the Convention and the Optional Protocol thereto, </w:t>
      </w:r>
      <w:r>
        <w:rPr>
          <w:b/>
          <w:bCs/>
        </w:rPr>
        <w:t xml:space="preserve">including through means that will allow access to women and girls who are not conversant in the State party’s official languages, </w:t>
      </w:r>
      <w:r w:rsidRPr="00C60479">
        <w:rPr>
          <w:b/>
          <w:bCs/>
        </w:rPr>
        <w:t>as well as to facilitate access to information about the general recommendations and the v</w:t>
      </w:r>
      <w:r>
        <w:rPr>
          <w:b/>
          <w:bCs/>
        </w:rPr>
        <w:t>iews and recommendations of the C</w:t>
      </w:r>
      <w:r w:rsidRPr="00C60479">
        <w:rPr>
          <w:b/>
          <w:bCs/>
        </w:rPr>
        <w:t>ommittee on individual communications and inquiries</w:t>
      </w:r>
      <w:r>
        <w:rPr>
          <w:b/>
          <w:bCs/>
        </w:rPr>
        <w:t xml:space="preserve"> under the Optional Protocol</w:t>
      </w:r>
      <w:r w:rsidRPr="00C60479">
        <w:rPr>
          <w:b/>
          <w:bCs/>
        </w:rPr>
        <w:t>.</w:t>
      </w:r>
    </w:p>
    <w:p w14:paraId="410BB2B9" w14:textId="77777777" w:rsidR="00D6421F" w:rsidRPr="00393293" w:rsidRDefault="00D6421F" w:rsidP="00D6421F">
      <w:pPr>
        <w:pStyle w:val="H23G"/>
      </w:pPr>
      <w:r w:rsidRPr="00EB11E9">
        <w:tab/>
      </w:r>
      <w:r w:rsidRPr="00EB11E9">
        <w:tab/>
        <w:t>Legislative framework, legal status of the Convention and harmonization of laws</w:t>
      </w:r>
    </w:p>
    <w:p w14:paraId="78D42930" w14:textId="77777777" w:rsidR="00D6421F" w:rsidRDefault="00D6421F" w:rsidP="00D6421F">
      <w:pPr>
        <w:pStyle w:val="SingleTxtG"/>
      </w:pPr>
      <w:r w:rsidRPr="00EB11E9">
        <w:t>1</w:t>
      </w:r>
      <w:r>
        <w:t>3</w:t>
      </w:r>
      <w:r w:rsidRPr="00EB11E9">
        <w:t>.</w:t>
      </w:r>
      <w:r w:rsidRPr="00EB11E9">
        <w:tab/>
      </w:r>
      <w:r>
        <w:t xml:space="preserve">The Committee notes with appreciation that international human rights treaties such as the Convention are considered binding in domestic law. Nevertheless, it notes with concern that: </w:t>
      </w:r>
    </w:p>
    <w:p w14:paraId="7E3D094D" w14:textId="77777777" w:rsidR="00D6421F" w:rsidRPr="00EB11E9" w:rsidRDefault="00D6421F" w:rsidP="00D6421F">
      <w:pPr>
        <w:pStyle w:val="SingleTxtG"/>
      </w:pPr>
      <w:r>
        <w:tab/>
        <w:t>(a)</w:t>
      </w:r>
      <w:r>
        <w:tab/>
        <w:t>The lack of court decisions making direct reference to the Convention;</w:t>
      </w:r>
    </w:p>
    <w:p w14:paraId="069ABA59" w14:textId="77777777" w:rsidR="00D6421F" w:rsidRPr="00EB11E9" w:rsidRDefault="00D6421F" w:rsidP="00D6421F">
      <w:pPr>
        <w:pStyle w:val="SingleTxtG"/>
      </w:pPr>
      <w:r w:rsidRPr="00EB11E9">
        <w:tab/>
        <w:t>(</w:t>
      </w:r>
      <w:r>
        <w:t>b</w:t>
      </w:r>
      <w:r w:rsidRPr="00EB11E9">
        <w:t>)</w:t>
      </w:r>
      <w:r w:rsidRPr="00EB11E9">
        <w:tab/>
      </w:r>
      <w:r>
        <w:t>Despite the fact that t</w:t>
      </w:r>
      <w:r w:rsidRPr="00366BBA">
        <w:t xml:space="preserve">he Government Action Plan for Gender Equality 2016–2019 </w:t>
      </w:r>
      <w:r>
        <w:t>sought to continue</w:t>
      </w:r>
      <w:r w:rsidRPr="00366BBA">
        <w:t xml:space="preserve"> </w:t>
      </w:r>
      <w:r>
        <w:t>gender</w:t>
      </w:r>
      <w:r w:rsidRPr="00366BBA">
        <w:t xml:space="preserve"> mainstreaming in </w:t>
      </w:r>
      <w:r>
        <w:t xml:space="preserve">all </w:t>
      </w:r>
      <w:r w:rsidRPr="00366BBA">
        <w:t>Government</w:t>
      </w:r>
      <w:r>
        <w:t xml:space="preserve"> departments, </w:t>
      </w:r>
      <w:r w:rsidRPr="00A92A83">
        <w:t xml:space="preserve">only 15% of all government </w:t>
      </w:r>
      <w:r>
        <w:t>initiatives in</w:t>
      </w:r>
      <w:r w:rsidRPr="00A92A83">
        <w:t xml:space="preserve"> Parliament </w:t>
      </w:r>
      <w:r>
        <w:t>in 2020 incorporated a</w:t>
      </w:r>
      <w:r w:rsidRPr="00A92A83">
        <w:t xml:space="preserve"> gender p</w:t>
      </w:r>
      <w:r>
        <w:t>erspective or gender impact assessments,</w:t>
      </w:r>
      <w:r w:rsidRPr="007A6E22">
        <w:t xml:space="preserve"> </w:t>
      </w:r>
      <w:r>
        <w:t>a percentage that has been decreasing since 2018;</w:t>
      </w:r>
    </w:p>
    <w:p w14:paraId="78EBA70B" w14:textId="77777777" w:rsidR="00D6421F" w:rsidRPr="00EB11E9" w:rsidRDefault="00D6421F" w:rsidP="00D6421F">
      <w:pPr>
        <w:pStyle w:val="SingleTxtG"/>
      </w:pPr>
      <w:r w:rsidRPr="00EB11E9">
        <w:tab/>
        <w:t>(</w:t>
      </w:r>
      <w:r>
        <w:t>c</w:t>
      </w:r>
      <w:r w:rsidRPr="00EB11E9">
        <w:t>)</w:t>
      </w:r>
      <w:r w:rsidRPr="00EB11E9">
        <w:tab/>
      </w:r>
      <w:r>
        <w:t>T</w:t>
      </w:r>
      <w:r w:rsidRPr="004D0AD0">
        <w:t>he wording of new criminal legislation on sexual harassment and stalking</w:t>
      </w:r>
      <w:r>
        <w:t xml:space="preserve"> is gender neutral. </w:t>
      </w:r>
    </w:p>
    <w:p w14:paraId="0374527A" w14:textId="77777777" w:rsidR="00D6421F" w:rsidRPr="00EB11E9" w:rsidRDefault="00D6421F" w:rsidP="00D6421F">
      <w:pPr>
        <w:pStyle w:val="SingleTxtG"/>
      </w:pPr>
      <w:r w:rsidRPr="00EB11E9">
        <w:t>1</w:t>
      </w:r>
      <w:r>
        <w:t>4</w:t>
      </w:r>
      <w:r w:rsidRPr="00EB11E9">
        <w:t>.</w:t>
      </w:r>
      <w:r w:rsidRPr="00EB11E9">
        <w:tab/>
      </w:r>
      <w:r>
        <w:rPr>
          <w:b/>
        </w:rPr>
        <w:t>T</w:t>
      </w:r>
      <w:r w:rsidRPr="00EB11E9">
        <w:rPr>
          <w:b/>
        </w:rPr>
        <w:t>he Committee recommends that the State party:</w:t>
      </w:r>
    </w:p>
    <w:p w14:paraId="208CC101" w14:textId="77777777" w:rsidR="00D6421F" w:rsidRPr="00EB11E9" w:rsidRDefault="00D6421F" w:rsidP="00D6421F">
      <w:pPr>
        <w:pStyle w:val="SingleTxtG"/>
        <w:rPr>
          <w:b/>
        </w:rPr>
      </w:pPr>
      <w:r w:rsidRPr="00EB11E9">
        <w:tab/>
        <w:t>(a)</w:t>
      </w:r>
      <w:r>
        <w:tab/>
      </w:r>
      <w:r>
        <w:rPr>
          <w:b/>
        </w:rPr>
        <w:t>Carry out capacity building and awareness raising activities for judges, prosecutors and lawyers with the aim of encouraging the invocation of the Convention in court proceedings</w:t>
      </w:r>
      <w:r w:rsidRPr="00EB11E9">
        <w:rPr>
          <w:b/>
        </w:rPr>
        <w:t>;</w:t>
      </w:r>
    </w:p>
    <w:p w14:paraId="52D4FD0F" w14:textId="77777777" w:rsidR="00D6421F" w:rsidRPr="00EB11E9" w:rsidRDefault="00D6421F" w:rsidP="00D6421F">
      <w:pPr>
        <w:pStyle w:val="SingleTxtG"/>
      </w:pPr>
      <w:r w:rsidRPr="00EB11E9">
        <w:tab/>
        <w:t>(b)</w:t>
      </w:r>
      <w:r>
        <w:tab/>
      </w:r>
      <w:r>
        <w:rPr>
          <w:b/>
        </w:rPr>
        <w:t>E</w:t>
      </w:r>
      <w:r w:rsidRPr="00687930">
        <w:rPr>
          <w:b/>
        </w:rPr>
        <w:t>nsure that gender mainstreaming and gender impact assessments are included in all government proposals put before parliament</w:t>
      </w:r>
      <w:r w:rsidRPr="00EB11E9">
        <w:rPr>
          <w:b/>
        </w:rPr>
        <w:t>;</w:t>
      </w:r>
    </w:p>
    <w:p w14:paraId="4FFCFD0B" w14:textId="77777777" w:rsidR="00D6421F" w:rsidRDefault="00D6421F" w:rsidP="00D6421F">
      <w:pPr>
        <w:pStyle w:val="SingleTxtG"/>
        <w:rPr>
          <w:b/>
        </w:rPr>
      </w:pPr>
      <w:r w:rsidRPr="00EB11E9">
        <w:tab/>
        <w:t>(c)</w:t>
      </w:r>
      <w:r>
        <w:tab/>
      </w:r>
      <w:r w:rsidRPr="00EB11E9">
        <w:rPr>
          <w:b/>
        </w:rPr>
        <w:t>Include gender-sensitive rather than gender-neutral language in its legislation, policies and programmes, in line with the Committee’s general recommendation No. 28, and comprehensively assess the gender-neutral approach in legislation and policymaking, with an emphasis on the potential adverse effects of gender-neutral policies for public funding programmes for women.</w:t>
      </w:r>
    </w:p>
    <w:p w14:paraId="37846B9C" w14:textId="77777777" w:rsidR="00D6421F" w:rsidRPr="00393293" w:rsidRDefault="00D6421F" w:rsidP="00D6421F">
      <w:pPr>
        <w:pStyle w:val="H23G"/>
      </w:pPr>
      <w:r>
        <w:tab/>
      </w:r>
      <w:r>
        <w:tab/>
      </w:r>
      <w:r>
        <w:tab/>
      </w:r>
      <w:r w:rsidRPr="00393293">
        <w:t>National machinery for the advancement of women</w:t>
      </w:r>
    </w:p>
    <w:p w14:paraId="6E2106A0" w14:textId="77777777" w:rsidR="00D6421F" w:rsidRDefault="00D6421F" w:rsidP="00D6421F">
      <w:pPr>
        <w:pStyle w:val="SingleTxtG"/>
      </w:pPr>
      <w:r>
        <w:t>15.</w:t>
      </w:r>
      <w:r>
        <w:tab/>
        <w:t xml:space="preserve">The Committee welcomes the fact that Finland </w:t>
      </w:r>
      <w:r w:rsidRPr="00033B29">
        <w:t xml:space="preserve">ranks </w:t>
      </w:r>
      <w:r>
        <w:t>second</w:t>
      </w:r>
      <w:r w:rsidRPr="00033B29">
        <w:t xml:space="preserve"> </w:t>
      </w:r>
      <w:r>
        <w:t>i</w:t>
      </w:r>
      <w:r w:rsidRPr="00033B29">
        <w:t>n the Gender Equality Index 202</w:t>
      </w:r>
      <w:r>
        <w:t>2</w:t>
      </w:r>
      <w:r w:rsidRPr="00033B29">
        <w:t xml:space="preserve"> of the European Institute for Gender Equality</w:t>
      </w:r>
      <w:r>
        <w:t xml:space="preserve">. It notes with concern, however, that </w:t>
      </w:r>
      <w:r w:rsidRPr="00673B3D">
        <w:t xml:space="preserve">Finland </w:t>
      </w:r>
      <w:r>
        <w:t>is</w:t>
      </w:r>
      <w:r w:rsidRPr="00673B3D">
        <w:t xml:space="preserve"> progressing towards gender equality at a slower pace than many other member States of the European Union</w:t>
      </w:r>
      <w:r>
        <w:t xml:space="preserve">. The Committee also notes with concern the absence of a high-level coordinating mechanism responsible for advancing the rights of women and gender equality. </w:t>
      </w:r>
    </w:p>
    <w:p w14:paraId="040828DB" w14:textId="77777777" w:rsidR="00D6421F" w:rsidRPr="00EB11E9" w:rsidRDefault="00D6421F" w:rsidP="00D6421F">
      <w:pPr>
        <w:pStyle w:val="SingleTxtG"/>
      </w:pPr>
      <w:r w:rsidRPr="00EB11E9">
        <w:t>1</w:t>
      </w:r>
      <w:r>
        <w:t>6</w:t>
      </w:r>
      <w:r w:rsidRPr="00EB11E9">
        <w:t>.</w:t>
      </w:r>
      <w:r w:rsidRPr="00EB11E9">
        <w:tab/>
      </w:r>
      <w:r w:rsidRPr="00CF5DB5">
        <w:rPr>
          <w:b/>
          <w:bCs/>
        </w:rPr>
        <w:t>Recalling the Committee’s previous recommendations (CEDAW/C/FIN/CO/</w:t>
      </w:r>
      <w:r>
        <w:rPr>
          <w:b/>
          <w:bCs/>
        </w:rPr>
        <w:t>8</w:t>
      </w:r>
      <w:r w:rsidRPr="00CF5DB5">
        <w:rPr>
          <w:b/>
          <w:bCs/>
        </w:rPr>
        <w:t>, para. 1</w:t>
      </w:r>
      <w:r>
        <w:rPr>
          <w:b/>
          <w:bCs/>
        </w:rPr>
        <w:t>3</w:t>
      </w:r>
      <w:r w:rsidRPr="00CF5DB5">
        <w:rPr>
          <w:b/>
          <w:bCs/>
        </w:rPr>
        <w:t>)</w:t>
      </w:r>
      <w:r>
        <w:rPr>
          <w:b/>
          <w:bCs/>
        </w:rPr>
        <w:t xml:space="preserve"> </w:t>
      </w:r>
      <w:r>
        <w:rPr>
          <w:b/>
        </w:rPr>
        <w:t>t</w:t>
      </w:r>
      <w:r w:rsidRPr="00EB11E9">
        <w:rPr>
          <w:b/>
        </w:rPr>
        <w:t>he Committee recommends that the State party:</w:t>
      </w:r>
    </w:p>
    <w:p w14:paraId="48140F6F" w14:textId="77777777" w:rsidR="00D6421F" w:rsidRPr="00F05B72" w:rsidRDefault="00D6421F" w:rsidP="00D6421F">
      <w:pPr>
        <w:pStyle w:val="SingleTxtG"/>
        <w:rPr>
          <w:b/>
        </w:rPr>
      </w:pPr>
      <w:r w:rsidRPr="00EB11E9">
        <w:tab/>
        <w:t>(a)</w:t>
      </w:r>
      <w:r>
        <w:tab/>
      </w:r>
      <w:r>
        <w:rPr>
          <w:b/>
          <w:bCs/>
        </w:rPr>
        <w:t>Undertake an in depth analysis of its progress towards achieving substantive gender equality, with a view to understanding the obstacles and challenges impacting this progress, and put in place effective measures to address them</w:t>
      </w:r>
      <w:r w:rsidRPr="00F05B72">
        <w:rPr>
          <w:b/>
        </w:rPr>
        <w:t>;</w:t>
      </w:r>
    </w:p>
    <w:p w14:paraId="44A0DFCE" w14:textId="77777777" w:rsidR="00D6421F" w:rsidRPr="00EB11E9" w:rsidRDefault="00D6421F" w:rsidP="00D6421F">
      <w:pPr>
        <w:pStyle w:val="SingleTxtG"/>
      </w:pPr>
      <w:r w:rsidRPr="00EB11E9">
        <w:tab/>
        <w:t>(b)</w:t>
      </w:r>
      <w:r>
        <w:tab/>
      </w:r>
      <w:r>
        <w:rPr>
          <w:b/>
          <w:bCs/>
        </w:rPr>
        <w:t>C</w:t>
      </w:r>
      <w:r w:rsidRPr="00CF5DB5">
        <w:rPr>
          <w:b/>
          <w:bCs/>
        </w:rPr>
        <w:t xml:space="preserve">onsider establishing a high-level coordination mechanism within the Government, with adequate </w:t>
      </w:r>
      <w:r>
        <w:rPr>
          <w:b/>
          <w:bCs/>
        </w:rPr>
        <w:t xml:space="preserve">human, technical and financial </w:t>
      </w:r>
      <w:r w:rsidRPr="00CF5DB5">
        <w:rPr>
          <w:b/>
          <w:bCs/>
        </w:rPr>
        <w:t xml:space="preserve">resources, and with </w:t>
      </w:r>
      <w:r>
        <w:rPr>
          <w:b/>
          <w:bCs/>
        </w:rPr>
        <w:t>a robust mandate</w:t>
      </w:r>
      <w:r w:rsidRPr="00CF5DB5">
        <w:rPr>
          <w:b/>
          <w:bCs/>
        </w:rPr>
        <w:t xml:space="preserve"> to ensure effective gender mainstreaming in all government policies, formulate new policies and effectively carry out strategies and measures to eliminate discrimination against women</w:t>
      </w:r>
      <w:r>
        <w:rPr>
          <w:b/>
          <w:bCs/>
        </w:rPr>
        <w:t xml:space="preserve">; </w:t>
      </w:r>
    </w:p>
    <w:p w14:paraId="6AB6AA70" w14:textId="77777777" w:rsidR="00D6421F" w:rsidRPr="00F05B72" w:rsidRDefault="00D6421F" w:rsidP="00D6421F">
      <w:pPr>
        <w:pStyle w:val="SingleTxtG"/>
        <w:rPr>
          <w:b/>
        </w:rPr>
      </w:pPr>
      <w:r w:rsidRPr="004545CE">
        <w:lastRenderedPageBreak/>
        <w:tab/>
        <w:t>(c)</w:t>
      </w:r>
      <w:r w:rsidRPr="004545CE">
        <w:tab/>
      </w:r>
      <w:r>
        <w:rPr>
          <w:b/>
        </w:rPr>
        <w:t>E</w:t>
      </w:r>
      <w:r w:rsidRPr="00755FC6">
        <w:rPr>
          <w:b/>
        </w:rPr>
        <w:t xml:space="preserve">stablish a </w:t>
      </w:r>
      <w:r>
        <w:rPr>
          <w:b/>
        </w:rPr>
        <w:t xml:space="preserve">dedicated </w:t>
      </w:r>
      <w:r w:rsidRPr="00755FC6">
        <w:rPr>
          <w:b/>
        </w:rPr>
        <w:t xml:space="preserve">government </w:t>
      </w:r>
      <w:r>
        <w:rPr>
          <w:b/>
        </w:rPr>
        <w:t xml:space="preserve">entity </w:t>
      </w:r>
      <w:r w:rsidRPr="00755FC6">
        <w:rPr>
          <w:b/>
        </w:rPr>
        <w:t xml:space="preserve"> at the highest level and independent of the Ministry of Social Affairs and Health that is responsible for the advancement of women and gender equality, and </w:t>
      </w:r>
      <w:r>
        <w:rPr>
          <w:b/>
        </w:rPr>
        <w:t>equipped</w:t>
      </w:r>
      <w:r w:rsidRPr="00755FC6">
        <w:rPr>
          <w:b/>
        </w:rPr>
        <w:t xml:space="preserve"> </w:t>
      </w:r>
      <w:r w:rsidRPr="00F05B72">
        <w:rPr>
          <w:b/>
        </w:rPr>
        <w:t>with sufficient human, technical and financial resources to effectively carry out its mandate to promote and protect women’s rights</w:t>
      </w:r>
      <w:r>
        <w:rPr>
          <w:b/>
        </w:rPr>
        <w:t>.</w:t>
      </w:r>
    </w:p>
    <w:p w14:paraId="7CB58B43" w14:textId="77777777" w:rsidR="00D6421F" w:rsidRPr="00393293" w:rsidRDefault="00D6421F" w:rsidP="00D6421F">
      <w:pPr>
        <w:pStyle w:val="H23G"/>
      </w:pPr>
      <w:r>
        <w:tab/>
      </w:r>
      <w:r>
        <w:tab/>
      </w:r>
      <w:r w:rsidRPr="00393293">
        <w:t>Temporary special measures</w:t>
      </w:r>
    </w:p>
    <w:p w14:paraId="5BAC7DDA" w14:textId="77777777" w:rsidR="00D6421F" w:rsidRDefault="00D6421F" w:rsidP="00D6421F">
      <w:pPr>
        <w:pStyle w:val="SingleTxtG"/>
      </w:pPr>
      <w:r w:rsidRPr="004545CE">
        <w:t>1</w:t>
      </w:r>
      <w:r>
        <w:t>7</w:t>
      </w:r>
      <w:r w:rsidRPr="004545CE">
        <w:t>.</w:t>
      </w:r>
      <w:r w:rsidRPr="004545CE">
        <w:tab/>
      </w:r>
      <w:r>
        <w:t>The Committee welcomes the efforts of the State party to strengthen the participation of migrant women in political and public life, education and the labour market. It</w:t>
      </w:r>
      <w:r w:rsidRPr="004545CE">
        <w:t xml:space="preserve"> </w:t>
      </w:r>
      <w:r>
        <w:t xml:space="preserve">also takes </w:t>
      </w:r>
      <w:r w:rsidRPr="004545CE">
        <w:t>note</w:t>
      </w:r>
      <w:r>
        <w:t xml:space="preserve"> of</w:t>
      </w:r>
      <w:r w:rsidRPr="004545CE">
        <w:t xml:space="preserve"> the </w:t>
      </w:r>
      <w:r w:rsidRPr="00AC0528">
        <w:t>government resolution of 2015</w:t>
      </w:r>
      <w:r>
        <w:t xml:space="preserve"> requiring</w:t>
      </w:r>
      <w:r w:rsidRPr="00AC0528">
        <w:t xml:space="preserve"> the boards of large and medium-sized listed companies </w:t>
      </w:r>
      <w:r>
        <w:t>to</w:t>
      </w:r>
      <w:r w:rsidRPr="00AC0528">
        <w:t xml:space="preserve"> have a minimum of 40 per cent of both women and men on their boards</w:t>
      </w:r>
      <w:r w:rsidRPr="004545CE">
        <w:t>. The Committee is</w:t>
      </w:r>
      <w:r>
        <w:t xml:space="preserve">, however, </w:t>
      </w:r>
      <w:r w:rsidRPr="004545CE">
        <w:t xml:space="preserve">concerned that </w:t>
      </w:r>
      <w:r>
        <w:t>there have been no positive developments towards this minimum quota for women in recent years.</w:t>
      </w:r>
      <w:r w:rsidRPr="000162C9">
        <w:t xml:space="preserve"> </w:t>
      </w:r>
    </w:p>
    <w:p w14:paraId="0364FF6C" w14:textId="77777777" w:rsidR="00D6421F" w:rsidRDefault="00D6421F" w:rsidP="00D6421F">
      <w:pPr>
        <w:pStyle w:val="SingleTxtG"/>
        <w:rPr>
          <w:b/>
        </w:rPr>
      </w:pPr>
      <w:r w:rsidRPr="004545CE">
        <w:t>1</w:t>
      </w:r>
      <w:r>
        <w:t>8</w:t>
      </w:r>
      <w:r w:rsidRPr="004545CE">
        <w:t>.</w:t>
      </w:r>
      <w:r w:rsidRPr="004545CE">
        <w:tab/>
      </w:r>
      <w:r w:rsidRPr="00D72F96">
        <w:rPr>
          <w:b/>
        </w:rPr>
        <w:t>I</w:t>
      </w:r>
      <w:r>
        <w:rPr>
          <w:b/>
        </w:rPr>
        <w:t>n line with article 4(1</w:t>
      </w:r>
      <w:r w:rsidRPr="00D72F96">
        <w:rPr>
          <w:b/>
        </w:rPr>
        <w:t xml:space="preserve">) of the Convention and the Committee’s </w:t>
      </w:r>
      <w:r>
        <w:rPr>
          <w:b/>
        </w:rPr>
        <w:t>general recommendation No. 25 (</w:t>
      </w:r>
      <w:r w:rsidRPr="00D72F96">
        <w:rPr>
          <w:b/>
        </w:rPr>
        <w:t xml:space="preserve">2004) on temporary special measures, </w:t>
      </w:r>
      <w:r>
        <w:rPr>
          <w:b/>
        </w:rPr>
        <w:t>t</w:t>
      </w:r>
      <w:r w:rsidRPr="00D72F96">
        <w:rPr>
          <w:b/>
        </w:rPr>
        <w:t>he Committee</w:t>
      </w:r>
      <w:r w:rsidRPr="004545CE">
        <w:rPr>
          <w:b/>
        </w:rPr>
        <w:t xml:space="preserve"> recommends that the State party</w:t>
      </w:r>
      <w:r>
        <w:rPr>
          <w:b/>
        </w:rPr>
        <w:t xml:space="preserve">: </w:t>
      </w:r>
    </w:p>
    <w:p w14:paraId="54A782F0" w14:textId="77777777" w:rsidR="00D6421F" w:rsidRDefault="00D6421F" w:rsidP="00D6421F">
      <w:pPr>
        <w:pStyle w:val="SingleTxtG"/>
        <w:rPr>
          <w:b/>
        </w:rPr>
      </w:pPr>
      <w:r>
        <w:tab/>
        <w:t>(a)</w:t>
      </w:r>
      <w:r>
        <w:rPr>
          <w:b/>
        </w:rPr>
        <w:tab/>
        <w:t>Provide</w:t>
      </w:r>
      <w:r w:rsidRPr="004545CE">
        <w:rPr>
          <w:b/>
        </w:rPr>
        <w:t xml:space="preserve"> incentives such as gender scorecards, strengthen targeted recruitment and set time-bound goals and quotas in all areas covered by the Convention and at all levels where women are underrepresented or disadvantaged</w:t>
      </w:r>
      <w:r>
        <w:rPr>
          <w:b/>
        </w:rPr>
        <w:t>,</w:t>
      </w:r>
      <w:r w:rsidRPr="004545CE">
        <w:rPr>
          <w:b/>
        </w:rPr>
        <w:t xml:space="preserve"> </w:t>
      </w:r>
      <w:r>
        <w:rPr>
          <w:b/>
        </w:rPr>
        <w:t>including on executive boards of large and medium sized listed companies;</w:t>
      </w:r>
      <w:r w:rsidRPr="00B760FF">
        <w:rPr>
          <w:b/>
        </w:rPr>
        <w:t xml:space="preserve"> </w:t>
      </w:r>
    </w:p>
    <w:p w14:paraId="39570D93" w14:textId="77777777" w:rsidR="00D6421F" w:rsidRPr="00B044B4" w:rsidRDefault="00D6421F" w:rsidP="00D6421F">
      <w:pPr>
        <w:pStyle w:val="SingleTxtG"/>
        <w:rPr>
          <w:b/>
        </w:rPr>
      </w:pPr>
      <w:r>
        <w:rPr>
          <w:b/>
        </w:rPr>
        <w:tab/>
      </w:r>
      <w:r w:rsidRPr="00F01CF0">
        <w:t>(b)</w:t>
      </w:r>
      <w:r w:rsidRPr="00F01CF0">
        <w:tab/>
      </w:r>
      <w:r w:rsidRPr="00B044B4">
        <w:rPr>
          <w:b/>
        </w:rPr>
        <w:t>Consider extending the use of quotas to smaller and unlisted companies</w:t>
      </w:r>
      <w:r>
        <w:rPr>
          <w:b/>
        </w:rPr>
        <w:t>;</w:t>
      </w:r>
    </w:p>
    <w:p w14:paraId="5BB098D1" w14:textId="77777777" w:rsidR="00D6421F" w:rsidRPr="00B760FF" w:rsidRDefault="00D6421F" w:rsidP="00D6421F">
      <w:pPr>
        <w:pStyle w:val="SingleTxtG"/>
        <w:rPr>
          <w:b/>
        </w:rPr>
      </w:pPr>
      <w:r>
        <w:rPr>
          <w:b/>
        </w:rPr>
        <w:tab/>
      </w:r>
      <w:r w:rsidRPr="00F01CF0">
        <w:t>(c)</w:t>
      </w:r>
      <w:r w:rsidRPr="00F01CF0">
        <w:tab/>
      </w:r>
      <w:r>
        <w:rPr>
          <w:b/>
        </w:rPr>
        <w:t>Continue and further strengthen</w:t>
      </w:r>
      <w:r w:rsidRPr="00B760FF">
        <w:rPr>
          <w:b/>
        </w:rPr>
        <w:t xml:space="preserve"> </w:t>
      </w:r>
      <w:r>
        <w:rPr>
          <w:b/>
        </w:rPr>
        <w:t xml:space="preserve">specific </w:t>
      </w:r>
      <w:r w:rsidRPr="00B760FF">
        <w:rPr>
          <w:b/>
        </w:rPr>
        <w:t xml:space="preserve">temporary special measures to accelerate </w:t>
      </w:r>
      <w:r>
        <w:rPr>
          <w:b/>
        </w:rPr>
        <w:t>the participation</w:t>
      </w:r>
      <w:r w:rsidRPr="00B760FF">
        <w:rPr>
          <w:b/>
        </w:rPr>
        <w:t xml:space="preserve"> of women belonging to disadvantaged groups such as</w:t>
      </w:r>
      <w:r w:rsidRPr="00B760FF">
        <w:rPr>
          <w:b/>
          <w:lang w:val="en-US"/>
        </w:rPr>
        <w:t xml:space="preserve"> </w:t>
      </w:r>
      <w:r>
        <w:rPr>
          <w:b/>
          <w:lang w:val="en-US"/>
        </w:rPr>
        <w:t xml:space="preserve">migrant women, </w:t>
      </w:r>
      <w:r w:rsidRPr="00650039">
        <w:rPr>
          <w:b/>
          <w:lang w:val="en-US"/>
        </w:rPr>
        <w:t xml:space="preserve">Roma women, Sami women, single mothers, older women and women with disabilities, in political </w:t>
      </w:r>
      <w:r>
        <w:rPr>
          <w:b/>
          <w:lang w:val="en-US"/>
        </w:rPr>
        <w:t>and public life,</w:t>
      </w:r>
      <w:r w:rsidRPr="00650039">
        <w:rPr>
          <w:b/>
          <w:lang w:val="en-US"/>
        </w:rPr>
        <w:t xml:space="preserve"> decision-making, education and the labour market</w:t>
      </w:r>
      <w:r w:rsidRPr="00B760FF">
        <w:rPr>
          <w:b/>
          <w:lang w:val="en-US"/>
        </w:rPr>
        <w:t>.</w:t>
      </w:r>
    </w:p>
    <w:p w14:paraId="506591A1" w14:textId="77777777" w:rsidR="00884453" w:rsidRDefault="00884453" w:rsidP="00884453">
      <w:pPr>
        <w:pStyle w:val="H23G"/>
      </w:pPr>
      <w:r>
        <w:tab/>
      </w:r>
      <w:r>
        <w:tab/>
        <w:t xml:space="preserve">Discriminatory gender stereotypes </w:t>
      </w:r>
    </w:p>
    <w:p w14:paraId="6390BAF5" w14:textId="656845EB" w:rsidR="00884453" w:rsidRDefault="00F35D27" w:rsidP="00884453">
      <w:pPr>
        <w:pStyle w:val="SingleTxtG"/>
      </w:pPr>
      <w:r>
        <w:t>19</w:t>
      </w:r>
      <w:r w:rsidR="00884453">
        <w:t>.</w:t>
      </w:r>
      <w:r w:rsidR="00884453">
        <w:tab/>
        <w:t>The Committee notes that parliament is discussing a government</w:t>
      </w:r>
      <w:r w:rsidR="00884453" w:rsidRPr="003063F7">
        <w:t xml:space="preserve"> proposal </w:t>
      </w:r>
      <w:r w:rsidR="00884453">
        <w:t>to make</w:t>
      </w:r>
      <w:r w:rsidR="00884453" w:rsidRPr="003063F7">
        <w:t xml:space="preserve"> </w:t>
      </w:r>
      <w:r w:rsidR="006F7946" w:rsidRPr="006F7946">
        <w:t>committing a crime on a gender-based motive an aggravating circumstance for hate speech offences and other offences.</w:t>
      </w:r>
      <w:r w:rsidR="00884453">
        <w:t xml:space="preserve">. The Committee nevertheless notes with concern: </w:t>
      </w:r>
    </w:p>
    <w:p w14:paraId="4261314E" w14:textId="77777777" w:rsidR="00884453" w:rsidRPr="00F35D27" w:rsidRDefault="00F35D27" w:rsidP="00F35D27">
      <w:pPr>
        <w:pStyle w:val="SingleTxtG"/>
      </w:pPr>
      <w:r>
        <w:tab/>
        <w:t>(a)</w:t>
      </w:r>
      <w:r>
        <w:tab/>
      </w:r>
      <w:r w:rsidR="00884453" w:rsidRPr="00F35D27">
        <w:t>That hate speech, including misogynist speech, has risen considerably as a percentage of all hate crimes from 37 per cent in 2016 to 52 per cent in 2020</w:t>
      </w:r>
      <w:r>
        <w:t>;</w:t>
      </w:r>
      <w:r w:rsidR="00884453" w:rsidRPr="00F35D27">
        <w:t xml:space="preserve"> </w:t>
      </w:r>
    </w:p>
    <w:p w14:paraId="25AD512F" w14:textId="77777777" w:rsidR="00884453" w:rsidRPr="00F35D27" w:rsidRDefault="00F35D27" w:rsidP="00F35D27">
      <w:pPr>
        <w:pStyle w:val="SingleTxtG"/>
      </w:pPr>
      <w:r>
        <w:tab/>
        <w:t>(b)</w:t>
      </w:r>
      <w:r>
        <w:tab/>
      </w:r>
      <w:r w:rsidR="00884453" w:rsidRPr="00F35D27">
        <w:t>That a high incidence of hate speech is gender-related, particularly directed against ethnic minority women and against women politicians</w:t>
      </w:r>
      <w:r>
        <w:t>;</w:t>
      </w:r>
      <w:r w:rsidR="00884453" w:rsidRPr="00F35D27">
        <w:t xml:space="preserve"> </w:t>
      </w:r>
    </w:p>
    <w:p w14:paraId="0510355F" w14:textId="77777777" w:rsidR="00884453" w:rsidRPr="00F35D27" w:rsidRDefault="00F35D27" w:rsidP="00F35D27">
      <w:pPr>
        <w:pStyle w:val="SingleTxtG"/>
      </w:pPr>
      <w:r>
        <w:tab/>
        <w:t>(c)</w:t>
      </w:r>
      <w:r>
        <w:tab/>
      </w:r>
      <w:r w:rsidR="00884453" w:rsidRPr="00F35D27">
        <w:t xml:space="preserve">That media and the advertising sector reportedly convey stereotyped images and messages regarding women, particularly with regard to gender-based violence against women, and there are no self-regulatory instruments. </w:t>
      </w:r>
    </w:p>
    <w:p w14:paraId="59DC20F4" w14:textId="77777777" w:rsidR="00884453" w:rsidRDefault="00884453" w:rsidP="00884453">
      <w:pPr>
        <w:pStyle w:val="SingleTxtG"/>
        <w:rPr>
          <w:b/>
        </w:rPr>
      </w:pPr>
      <w:r w:rsidRPr="001670C5">
        <w:t>2</w:t>
      </w:r>
      <w:r w:rsidR="00F35D27">
        <w:t>0</w:t>
      </w:r>
      <w:r w:rsidRPr="001670C5">
        <w:t>.</w:t>
      </w:r>
      <w:r w:rsidRPr="001670C5">
        <w:tab/>
      </w:r>
      <w:r>
        <w:rPr>
          <w:b/>
        </w:rPr>
        <w:t xml:space="preserve">Recalling </w:t>
      </w:r>
      <w:r w:rsidRPr="00721E74">
        <w:rPr>
          <w:b/>
        </w:rPr>
        <w:t>the Committee’s previous recommendat</w:t>
      </w:r>
      <w:r>
        <w:rPr>
          <w:b/>
        </w:rPr>
        <w:t>ions (CEDAW/C/FIN/CO/8, para.27) t</w:t>
      </w:r>
      <w:r w:rsidRPr="00650039">
        <w:rPr>
          <w:b/>
        </w:rPr>
        <w:t>he Committee recommends</w:t>
      </w:r>
      <w:r>
        <w:rPr>
          <w:b/>
        </w:rPr>
        <w:t xml:space="preserve"> that that the State party:</w:t>
      </w:r>
    </w:p>
    <w:p w14:paraId="6CE90741" w14:textId="77777777" w:rsidR="00884453" w:rsidRPr="00F35D27" w:rsidRDefault="00F35D27" w:rsidP="00F35D27">
      <w:pPr>
        <w:pStyle w:val="SingleTxtG"/>
        <w:rPr>
          <w:b/>
          <w:bCs/>
        </w:rPr>
      </w:pPr>
      <w:r>
        <w:tab/>
      </w:r>
      <w:r w:rsidRPr="00F35D27">
        <w:t>(a)</w:t>
      </w:r>
      <w:r>
        <w:tab/>
      </w:r>
      <w:r w:rsidR="00884453" w:rsidRPr="00F35D27">
        <w:rPr>
          <w:b/>
          <w:bCs/>
        </w:rPr>
        <w:t>Take steps to criminalize sexist, misogynist and other forms of gender-related hate speech, including against migrant women and women belonging to national minorities;</w:t>
      </w:r>
    </w:p>
    <w:p w14:paraId="42C847EB" w14:textId="77777777" w:rsidR="00884453" w:rsidRPr="00F35D27" w:rsidRDefault="00F35D27" w:rsidP="00F35D27">
      <w:pPr>
        <w:pStyle w:val="SingleTxtG"/>
        <w:rPr>
          <w:b/>
          <w:bCs/>
        </w:rPr>
      </w:pPr>
      <w:r>
        <w:tab/>
      </w:r>
      <w:r w:rsidRPr="00F35D27">
        <w:t>(b)</w:t>
      </w:r>
      <w:r>
        <w:tab/>
      </w:r>
      <w:r w:rsidR="00884453" w:rsidRPr="00F35D27">
        <w:rPr>
          <w:b/>
          <w:bCs/>
        </w:rPr>
        <w:t>Strictly enforce the October 2021 amendment to the Criminal Code concerning the right to bring charges for menace in cases of gender-related hate speech</w:t>
      </w:r>
      <w:r w:rsidR="00EB6F83">
        <w:rPr>
          <w:b/>
          <w:bCs/>
        </w:rPr>
        <w:t>;</w:t>
      </w:r>
    </w:p>
    <w:p w14:paraId="187BCD3A" w14:textId="77777777" w:rsidR="00884453" w:rsidRPr="00F35D27" w:rsidRDefault="00F35D27" w:rsidP="00F35D27">
      <w:pPr>
        <w:pStyle w:val="SingleTxtG"/>
        <w:rPr>
          <w:b/>
          <w:bCs/>
        </w:rPr>
      </w:pPr>
      <w:r>
        <w:tab/>
      </w:r>
      <w:r w:rsidRPr="00F35D27">
        <w:t>(c)</w:t>
      </w:r>
      <w:r>
        <w:tab/>
      </w:r>
      <w:r w:rsidR="00884453" w:rsidRPr="00F35D27">
        <w:rPr>
          <w:b/>
          <w:bCs/>
        </w:rPr>
        <w:t>Further strengthen measures to address gender-related hate speech and the</w:t>
      </w:r>
      <w:r w:rsidR="00FC2199" w:rsidRPr="00F35D27">
        <w:rPr>
          <w:b/>
          <w:bCs/>
        </w:rPr>
        <w:t xml:space="preserve"> potrayal</w:t>
      </w:r>
      <w:r w:rsidR="00884453" w:rsidRPr="00F35D27">
        <w:rPr>
          <w:b/>
          <w:bCs/>
        </w:rPr>
        <w:t xml:space="preserve"> of stereotyped images regarding women in the media, including by encouraging the media and advertising sectors to institute effective self-regulatory mechanisms to </w:t>
      </w:r>
      <w:r w:rsidR="00FC2199" w:rsidRPr="00F35D27">
        <w:rPr>
          <w:b/>
          <w:bCs/>
        </w:rPr>
        <w:t>prohibit</w:t>
      </w:r>
      <w:r w:rsidR="00884453" w:rsidRPr="00F35D27">
        <w:rPr>
          <w:b/>
          <w:bCs/>
        </w:rPr>
        <w:t xml:space="preserve"> the use of such hate speech and promote positive and non-stereotypical portrayals of women</w:t>
      </w:r>
      <w:r w:rsidR="00FC2199" w:rsidRPr="00F35D27">
        <w:rPr>
          <w:b/>
          <w:bCs/>
        </w:rPr>
        <w:t xml:space="preserve"> and girls</w:t>
      </w:r>
      <w:r w:rsidR="00884453" w:rsidRPr="00F35D27">
        <w:rPr>
          <w:b/>
          <w:bCs/>
        </w:rPr>
        <w:t>.</w:t>
      </w:r>
    </w:p>
    <w:p w14:paraId="607CEF27" w14:textId="77777777" w:rsidR="00884453" w:rsidRDefault="00884453" w:rsidP="00884453">
      <w:pPr>
        <w:pStyle w:val="H23G"/>
      </w:pPr>
      <w:r>
        <w:lastRenderedPageBreak/>
        <w:tab/>
      </w:r>
      <w:r>
        <w:tab/>
        <w:t>Harmful practices</w:t>
      </w:r>
    </w:p>
    <w:p w14:paraId="33EF9724" w14:textId="0F3041FE" w:rsidR="00884453" w:rsidRDefault="00884453" w:rsidP="00884453">
      <w:pPr>
        <w:pStyle w:val="SingleTxtG"/>
      </w:pPr>
      <w:r>
        <w:t>2</w:t>
      </w:r>
      <w:r w:rsidR="00F35D27">
        <w:t>1</w:t>
      </w:r>
      <w:r>
        <w:t>.</w:t>
      </w:r>
      <w:r>
        <w:tab/>
        <w:t xml:space="preserve">The Committee </w:t>
      </w:r>
      <w:r w:rsidR="00975DE8">
        <w:t>notes</w:t>
      </w:r>
      <w:r w:rsidR="00975DE8" w:rsidRPr="00975DE8">
        <w:t xml:space="preserve"> the proposed amendment of the Law on verification of gender to remove the requirement of proof of sterilisation for a transsexual person.</w:t>
      </w:r>
      <w:r>
        <w:t xml:space="preserve">. It also notes that a working group </w:t>
      </w:r>
      <w:r w:rsidR="00B51C8F" w:rsidRPr="00B51C8F">
        <w:t>was established to prepare best practice guidance to help health-care professionals advise</w:t>
      </w:r>
      <w:r w:rsidR="00B51C8F" w:rsidRPr="00B51C8F" w:rsidDel="00B51C8F">
        <w:t xml:space="preserve"> </w:t>
      </w:r>
      <w:r>
        <w:t xml:space="preserve">parents with </w:t>
      </w:r>
      <w:r w:rsidR="00645CB4">
        <w:t>intersex children</w:t>
      </w:r>
      <w:r>
        <w:t>. The Committee further notes that forced marriage is punishable as human trafficking or as coercion. The Committee notes with concern, however:</w:t>
      </w:r>
    </w:p>
    <w:p w14:paraId="0986101B" w14:textId="77777777" w:rsidR="00884453" w:rsidRDefault="00884453" w:rsidP="00884453">
      <w:pPr>
        <w:pStyle w:val="SingleTxtG"/>
      </w:pPr>
      <w:r w:rsidRPr="008F22F8">
        <w:tab/>
        <w:t>(a)</w:t>
      </w:r>
      <w:r w:rsidRPr="008F22F8">
        <w:tab/>
      </w:r>
      <w:r>
        <w:t>The absence of legislation specifically criminalizing</w:t>
      </w:r>
      <w:r w:rsidRPr="001F7551">
        <w:t xml:space="preserve"> Female Genital Mutilation and </w:t>
      </w:r>
      <w:r>
        <w:t>the reported lack of capacity building</w:t>
      </w:r>
      <w:r w:rsidRPr="001F7551">
        <w:t xml:space="preserve"> and awareness </w:t>
      </w:r>
      <w:r>
        <w:t>raising for</w:t>
      </w:r>
      <w:r w:rsidRPr="001F7551">
        <w:t xml:space="preserve"> public health professionals </w:t>
      </w:r>
      <w:r>
        <w:t>on</w:t>
      </w:r>
      <w:r w:rsidRPr="001F7551">
        <w:t xml:space="preserve"> FGM</w:t>
      </w:r>
      <w:r w:rsidR="00F35D27">
        <w:t>;</w:t>
      </w:r>
    </w:p>
    <w:p w14:paraId="77248EFB" w14:textId="77777777" w:rsidR="00884453" w:rsidRPr="001F7551" w:rsidRDefault="00884453" w:rsidP="00884453">
      <w:pPr>
        <w:pStyle w:val="SingleTxtG"/>
      </w:pPr>
      <w:r>
        <w:tab/>
        <w:t>(b)</w:t>
      </w:r>
      <w:r>
        <w:tab/>
        <w:t>The performance of surgical interventions on intersex children with the aim of “normalising” their genitalia;</w:t>
      </w:r>
    </w:p>
    <w:p w14:paraId="7AAF4AC6" w14:textId="6D342915" w:rsidR="00884453" w:rsidRDefault="00884453" w:rsidP="00884453">
      <w:pPr>
        <w:pStyle w:val="SingleTxtG"/>
      </w:pPr>
      <w:r>
        <w:tab/>
        <w:t>(</w:t>
      </w:r>
      <w:r w:rsidR="00CC0B62">
        <w:t>c</w:t>
      </w:r>
      <w:r>
        <w:t>)</w:t>
      </w:r>
      <w:r>
        <w:tab/>
        <w:t>The failure of the State party to repeal Section 2 of the Sterilisation Law</w:t>
      </w:r>
      <w:r w:rsidRPr="005E5795">
        <w:t xml:space="preserve">, which permits the sterilization of women with </w:t>
      </w:r>
      <w:r w:rsidR="007A3407">
        <w:t xml:space="preserve">mental </w:t>
      </w:r>
      <w:r w:rsidRPr="005E5795">
        <w:t>disabilities who have limited legal capacity or who have been deprived of their legal capacity without their</w:t>
      </w:r>
      <w:r>
        <w:t xml:space="preserve"> </w:t>
      </w:r>
      <w:r w:rsidRPr="005E5795">
        <w:t>consent</w:t>
      </w:r>
      <w:r>
        <w:t>;</w:t>
      </w:r>
    </w:p>
    <w:p w14:paraId="31D48EF5" w14:textId="0518ED2A" w:rsidR="00884453" w:rsidRDefault="00884453" w:rsidP="00884453">
      <w:pPr>
        <w:pStyle w:val="SingleTxtG"/>
      </w:pPr>
      <w:r>
        <w:tab/>
        <w:t>(</w:t>
      </w:r>
      <w:r w:rsidR="00CC0B62">
        <w:t>d</w:t>
      </w:r>
      <w:r>
        <w:t>)</w:t>
      </w:r>
      <w:r>
        <w:tab/>
      </w:r>
      <w:r w:rsidRPr="001B6778">
        <w:t>Th</w:t>
      </w:r>
      <w:r>
        <w:t xml:space="preserve">at </w:t>
      </w:r>
      <w:r w:rsidRPr="001B6778">
        <w:t xml:space="preserve">forced marriage is not explicitly criminalised in the Criminal Code of Finland and that victims of forced marriage are often not identified as such in Finland, resulting in low prosecution rates.   </w:t>
      </w:r>
    </w:p>
    <w:p w14:paraId="427D1EC0" w14:textId="77777777" w:rsidR="00884453" w:rsidRDefault="00884453" w:rsidP="00884453">
      <w:pPr>
        <w:pStyle w:val="SingleTxtG"/>
        <w:rPr>
          <w:b/>
        </w:rPr>
      </w:pPr>
      <w:r w:rsidRPr="001670C5">
        <w:t>2</w:t>
      </w:r>
      <w:r w:rsidR="00F35D27">
        <w:t>2</w:t>
      </w:r>
      <w:r w:rsidRPr="001670C5">
        <w:t>.</w:t>
      </w:r>
      <w:r w:rsidRPr="001670C5">
        <w:tab/>
      </w:r>
      <w:r w:rsidRPr="005B0AC2">
        <w:rPr>
          <w:b/>
        </w:rPr>
        <w:t>Recalling joint general recommendation No. 31 of the Committee on the Elimination of Discrimination against Women/general comment No. 18 of the Committee on the Rights of the Child (2019) on harmful practices, and the</w:t>
      </w:r>
      <w:r w:rsidRPr="00B638A2">
        <w:rPr>
          <w:b/>
        </w:rPr>
        <w:t xml:space="preserve"> Committee’s previous recommendations (CEDAW/C/FIN/CO/8, para</w:t>
      </w:r>
      <w:r>
        <w:rPr>
          <w:b/>
        </w:rPr>
        <w:t>s</w:t>
      </w:r>
      <w:r w:rsidRPr="00B638A2">
        <w:rPr>
          <w:b/>
        </w:rPr>
        <w:t>.</w:t>
      </w:r>
      <w:r>
        <w:rPr>
          <w:b/>
        </w:rPr>
        <w:t>1</w:t>
      </w:r>
      <w:r w:rsidRPr="00B638A2">
        <w:rPr>
          <w:b/>
        </w:rPr>
        <w:t>7</w:t>
      </w:r>
      <w:r>
        <w:rPr>
          <w:b/>
        </w:rPr>
        <w:t xml:space="preserve"> and 29</w:t>
      </w:r>
      <w:r w:rsidRPr="00B638A2">
        <w:rPr>
          <w:b/>
        </w:rPr>
        <w:t>)</w:t>
      </w:r>
      <w:r>
        <w:rPr>
          <w:b/>
        </w:rPr>
        <w:t>, t</w:t>
      </w:r>
      <w:r w:rsidRPr="00FB0CED">
        <w:rPr>
          <w:b/>
        </w:rPr>
        <w:t>he Committee recommends that the State party</w:t>
      </w:r>
      <w:r>
        <w:rPr>
          <w:b/>
        </w:rPr>
        <w:t>:</w:t>
      </w:r>
    </w:p>
    <w:p w14:paraId="55118C1B" w14:textId="77777777" w:rsidR="00884453" w:rsidRDefault="00884453" w:rsidP="00884453">
      <w:pPr>
        <w:pStyle w:val="SingleTxtG"/>
        <w:rPr>
          <w:b/>
        </w:rPr>
      </w:pPr>
      <w:r>
        <w:rPr>
          <w:b/>
        </w:rPr>
        <w:tab/>
      </w:r>
      <w:r w:rsidRPr="00F35D27">
        <w:rPr>
          <w:bCs/>
        </w:rPr>
        <w:t>(a)</w:t>
      </w:r>
      <w:r>
        <w:rPr>
          <w:b/>
        </w:rPr>
        <w:tab/>
      </w:r>
      <w:r w:rsidRPr="005C4261">
        <w:rPr>
          <w:b/>
        </w:rPr>
        <w:t xml:space="preserve">Continue and further strengthen efforts to eliminate female genital mutilation, including by raising awareness of its harmful effects for girls and women in the communities </w:t>
      </w:r>
      <w:r w:rsidR="005C71B1">
        <w:rPr>
          <w:b/>
        </w:rPr>
        <w:t xml:space="preserve">that continue to engage in </w:t>
      </w:r>
      <w:r w:rsidRPr="005C4261">
        <w:rPr>
          <w:b/>
        </w:rPr>
        <w:t xml:space="preserve">this practice and by </w:t>
      </w:r>
      <w:r>
        <w:rPr>
          <w:b/>
        </w:rPr>
        <w:t>specifically</w:t>
      </w:r>
      <w:r w:rsidRPr="005C4261">
        <w:rPr>
          <w:b/>
        </w:rPr>
        <w:t xml:space="preserve"> criminalizing female genital mutilation;</w:t>
      </w:r>
    </w:p>
    <w:p w14:paraId="1D38D847" w14:textId="284F1257" w:rsidR="00884453" w:rsidRDefault="00884453" w:rsidP="00884453">
      <w:pPr>
        <w:pStyle w:val="SingleTxtG"/>
        <w:rPr>
          <w:b/>
        </w:rPr>
      </w:pPr>
      <w:r>
        <w:rPr>
          <w:b/>
        </w:rPr>
        <w:tab/>
      </w:r>
      <w:r w:rsidRPr="00F35D27">
        <w:rPr>
          <w:bCs/>
        </w:rPr>
        <w:t>(b)</w:t>
      </w:r>
      <w:r>
        <w:rPr>
          <w:b/>
        </w:rPr>
        <w:tab/>
        <w:t xml:space="preserve">Specifically criminalize surgical interventions on the genitalia of intersex </w:t>
      </w:r>
      <w:r w:rsidR="009B0FFD">
        <w:rPr>
          <w:b/>
        </w:rPr>
        <w:t>children</w:t>
      </w:r>
      <w:r w:rsidR="006F7EFC">
        <w:rPr>
          <w:b/>
        </w:rPr>
        <w:t xml:space="preserve"> unless medically necessary</w:t>
      </w:r>
      <w:r>
        <w:rPr>
          <w:b/>
        </w:rPr>
        <w:t xml:space="preserve">; </w:t>
      </w:r>
    </w:p>
    <w:p w14:paraId="7E471130" w14:textId="59A12946" w:rsidR="00884453" w:rsidRDefault="00884453" w:rsidP="00884453">
      <w:pPr>
        <w:pStyle w:val="SingleTxtG"/>
        <w:rPr>
          <w:b/>
        </w:rPr>
      </w:pPr>
      <w:r>
        <w:rPr>
          <w:b/>
        </w:rPr>
        <w:tab/>
      </w:r>
      <w:r w:rsidRPr="00F35D27">
        <w:rPr>
          <w:bCs/>
        </w:rPr>
        <w:t>(</w:t>
      </w:r>
      <w:r w:rsidR="00CC0B62">
        <w:rPr>
          <w:bCs/>
        </w:rPr>
        <w:t>c</w:t>
      </w:r>
      <w:r w:rsidRPr="00F35D27">
        <w:rPr>
          <w:bCs/>
        </w:rPr>
        <w:t>)</w:t>
      </w:r>
      <w:r>
        <w:rPr>
          <w:b/>
        </w:rPr>
        <w:tab/>
      </w:r>
      <w:r w:rsidRPr="005E5795">
        <w:rPr>
          <w:b/>
          <w:bCs/>
        </w:rPr>
        <w:t>Take immediate steps to repeal sec</w:t>
      </w:r>
      <w:r>
        <w:rPr>
          <w:b/>
          <w:bCs/>
        </w:rPr>
        <w:t>tion 2 of the Sterilization Law</w:t>
      </w:r>
      <w:r w:rsidRPr="00B638A2">
        <w:rPr>
          <w:b/>
        </w:rPr>
        <w:t xml:space="preserve"> </w:t>
      </w:r>
      <w:r w:rsidRPr="00FB0CED">
        <w:rPr>
          <w:b/>
        </w:rPr>
        <w:t xml:space="preserve">and </w:t>
      </w:r>
      <w:r>
        <w:rPr>
          <w:b/>
        </w:rPr>
        <w:t>provide</w:t>
      </w:r>
      <w:r w:rsidRPr="00FB0CED">
        <w:rPr>
          <w:b/>
        </w:rPr>
        <w:t xml:space="preserve"> effective re</w:t>
      </w:r>
      <w:r>
        <w:rPr>
          <w:b/>
        </w:rPr>
        <w:t xml:space="preserve">medies for women victims of </w:t>
      </w:r>
      <w:r w:rsidRPr="00B638A2">
        <w:rPr>
          <w:b/>
        </w:rPr>
        <w:t>forced or involuntary sterilization</w:t>
      </w:r>
      <w:r>
        <w:rPr>
          <w:b/>
        </w:rPr>
        <w:t>;</w:t>
      </w:r>
    </w:p>
    <w:p w14:paraId="076B5115" w14:textId="16B94364" w:rsidR="00884453" w:rsidRDefault="00884453" w:rsidP="00884453">
      <w:pPr>
        <w:pStyle w:val="SingleTxtG"/>
        <w:rPr>
          <w:b/>
        </w:rPr>
      </w:pPr>
      <w:r>
        <w:rPr>
          <w:b/>
        </w:rPr>
        <w:tab/>
      </w:r>
      <w:r w:rsidRPr="00F35D27">
        <w:rPr>
          <w:bCs/>
        </w:rPr>
        <w:t>(</w:t>
      </w:r>
      <w:r w:rsidR="00CC0B62">
        <w:rPr>
          <w:bCs/>
        </w:rPr>
        <w:t>d</w:t>
      </w:r>
      <w:r w:rsidRPr="00F35D27">
        <w:rPr>
          <w:bCs/>
        </w:rPr>
        <w:t>)</w:t>
      </w:r>
      <w:r>
        <w:rPr>
          <w:b/>
        </w:rPr>
        <w:tab/>
      </w:r>
      <w:r w:rsidRPr="00267C1F">
        <w:rPr>
          <w:b/>
        </w:rPr>
        <w:t>Explicitly criminalise forced marriage in the Criminal Code, ensure that all suspected cases of forced marriage are effectively investigated and that those responsible are prosecuted and adequately punished and that victims receive appropriate care, support and reparations</w:t>
      </w:r>
      <w:r w:rsidRPr="005E5795">
        <w:rPr>
          <w:b/>
          <w:bCs/>
        </w:rPr>
        <w:t>.</w:t>
      </w:r>
    </w:p>
    <w:p w14:paraId="3B1242CF" w14:textId="77777777" w:rsidR="00884453" w:rsidRPr="00393293" w:rsidRDefault="00884453" w:rsidP="00884453">
      <w:pPr>
        <w:pStyle w:val="H23G"/>
      </w:pPr>
      <w:r>
        <w:tab/>
      </w:r>
      <w:r>
        <w:tab/>
      </w:r>
      <w:r w:rsidRPr="00393293">
        <w:t>Gender-based violence against women</w:t>
      </w:r>
    </w:p>
    <w:p w14:paraId="4699D12C" w14:textId="77777777" w:rsidR="00884453" w:rsidRPr="004545CE" w:rsidRDefault="00884453" w:rsidP="00884453">
      <w:pPr>
        <w:pStyle w:val="SingleTxtG"/>
      </w:pPr>
      <w:r w:rsidRPr="004545CE">
        <w:t>2</w:t>
      </w:r>
      <w:r w:rsidR="00F35D27">
        <w:t>3</w:t>
      </w:r>
      <w:r w:rsidRPr="004545CE">
        <w:t>.</w:t>
      </w:r>
      <w:r w:rsidRPr="004545CE">
        <w:tab/>
        <w:t>The Committee</w:t>
      </w:r>
      <w:r>
        <w:t xml:space="preserve"> welcomes the </w:t>
      </w:r>
      <w:r w:rsidRPr="00961635">
        <w:t>reform of legislation governing sexual offences</w:t>
      </w:r>
      <w:r>
        <w:t xml:space="preserve"> and the establishment of a post of </w:t>
      </w:r>
      <w:r w:rsidRPr="00335F85">
        <w:t>independent rapporteur on violence</w:t>
      </w:r>
      <w:r>
        <w:t>. It notes the State party’s efforts to prevent gender-based violence against women including through capacity building for the police, the establishment of sexual violence referral centres (SERI) throughout the country and the launch of a national campaign against sexual harassment in 2016. The Committee</w:t>
      </w:r>
      <w:r w:rsidRPr="004545CE">
        <w:t xml:space="preserve"> nevertheless</w:t>
      </w:r>
      <w:r>
        <w:t xml:space="preserve"> notes with concern</w:t>
      </w:r>
      <w:r w:rsidRPr="004545CE">
        <w:t>:</w:t>
      </w:r>
    </w:p>
    <w:p w14:paraId="15FA53E3" w14:textId="77777777" w:rsidR="00884453" w:rsidRPr="004545CE" w:rsidRDefault="00884453" w:rsidP="00884453">
      <w:pPr>
        <w:pStyle w:val="SingleTxtG"/>
      </w:pPr>
      <w:r w:rsidRPr="004545CE">
        <w:tab/>
        <w:t>(a</w:t>
      </w:r>
      <w:r>
        <w:t>)</w:t>
      </w:r>
      <w:r>
        <w:tab/>
        <w:t>Reports of an increased number of cases of gender-based violence against women and girls and a high rate of intimate partner violence as well as reports that organisations, mechanisms and action plans that provide support to women and girls victims of violence, such as the Action Plan for the Istanbul Convention, the newly established post of independent rapporteur on violence against women and the C</w:t>
      </w:r>
      <w:r w:rsidRPr="006E2E50">
        <w:t>ommittee for comba</w:t>
      </w:r>
      <w:r>
        <w:t>t</w:t>
      </w:r>
      <w:r w:rsidRPr="006E2E50">
        <w:t>ting violence against women and domestic violence</w:t>
      </w:r>
      <w:r>
        <w:t xml:space="preserve"> (NAPE), lack adequate funding;</w:t>
      </w:r>
    </w:p>
    <w:p w14:paraId="3F70E935" w14:textId="77777777" w:rsidR="00884453" w:rsidRPr="004545CE" w:rsidRDefault="00884453" w:rsidP="00884453">
      <w:pPr>
        <w:pStyle w:val="SingleTxtG"/>
      </w:pPr>
      <w:r w:rsidRPr="004545CE">
        <w:tab/>
        <w:t>(b)</w:t>
      </w:r>
      <w:r>
        <w:tab/>
        <w:t>The fact that mediation in cases of intimate partner violence remains a possibility and is reportedly being increasingly used</w:t>
      </w:r>
      <w:r w:rsidRPr="001E0F5A">
        <w:t>;</w:t>
      </w:r>
    </w:p>
    <w:p w14:paraId="69AF6381" w14:textId="77777777" w:rsidR="00884453" w:rsidRPr="004545CE" w:rsidRDefault="00884453" w:rsidP="00884453">
      <w:pPr>
        <w:pStyle w:val="SingleTxtG"/>
      </w:pPr>
      <w:r w:rsidRPr="004545CE">
        <w:lastRenderedPageBreak/>
        <w:tab/>
        <w:t>(c)</w:t>
      </w:r>
      <w:r>
        <w:tab/>
        <w:t>That only s</w:t>
      </w:r>
      <w:r w:rsidRPr="00814C8E">
        <w:t>erious abuse of a particular position of power is included in the definition of rape,</w:t>
      </w:r>
      <w:r>
        <w:t xml:space="preserve"> while other situations of sexual abuse by abuse of power</w:t>
      </w:r>
      <w:r w:rsidRPr="00814C8E">
        <w:t xml:space="preserve"> </w:t>
      </w:r>
      <w:r>
        <w:t>are</w:t>
      </w:r>
      <w:r w:rsidRPr="001032F2">
        <w:t xml:space="preserve"> defined as sexual abuse</w:t>
      </w:r>
      <w:r>
        <w:t>, which carries a lighter penalty</w:t>
      </w:r>
      <w:r w:rsidR="009B1505">
        <w:t xml:space="preserve"> and that </w:t>
      </w:r>
      <w:r w:rsidR="009B1505" w:rsidRPr="009B1505">
        <w:t>sexual in</w:t>
      </w:r>
      <w:r w:rsidR="009B1505">
        <w:t xml:space="preserve">tercourse with a minor under the age of 16 is also punished under the offence of </w:t>
      </w:r>
      <w:r w:rsidR="009B1505" w:rsidRPr="009B1505">
        <w:t>sexual abuse</w:t>
      </w:r>
      <w:r w:rsidRPr="004545CE">
        <w:t>;</w:t>
      </w:r>
    </w:p>
    <w:p w14:paraId="0889301F" w14:textId="77777777" w:rsidR="00884453" w:rsidRPr="004545CE" w:rsidRDefault="00884453" w:rsidP="00884453">
      <w:pPr>
        <w:pStyle w:val="SingleTxtG"/>
      </w:pPr>
      <w:r w:rsidRPr="004545CE">
        <w:tab/>
        <w:t>(</w:t>
      </w:r>
      <w:r>
        <w:t>d</w:t>
      </w:r>
      <w:r w:rsidRPr="004545CE">
        <w:t>)</w:t>
      </w:r>
      <w:r>
        <w:tab/>
        <w:t>Underreporting and low prosecution and conviction rates in rape cases</w:t>
      </w:r>
      <w:r w:rsidRPr="004545CE">
        <w:t>;</w:t>
      </w:r>
    </w:p>
    <w:p w14:paraId="1207CA17" w14:textId="77777777" w:rsidR="00884453" w:rsidRDefault="00884453" w:rsidP="00884453">
      <w:pPr>
        <w:pStyle w:val="SingleTxtG"/>
      </w:pPr>
      <w:r w:rsidRPr="004545CE">
        <w:tab/>
        <w:t>(</w:t>
      </w:r>
      <w:r>
        <w:t>e</w:t>
      </w:r>
      <w:r w:rsidRPr="004545CE">
        <w:t>)</w:t>
      </w:r>
      <w:r>
        <w:tab/>
        <w:t>Reports that p</w:t>
      </w:r>
      <w:r w:rsidRPr="00F36C39">
        <w:t>rosecutors and law enforcement officer</w:t>
      </w:r>
      <w:r>
        <w:t>s</w:t>
      </w:r>
      <w:r w:rsidRPr="00F36C39">
        <w:t xml:space="preserve"> are not systematically trained to address c</w:t>
      </w:r>
      <w:r>
        <w:t>ases of gender-based violence against women, and that such training is often on a voluntary basis and does not cover such specific form</w:t>
      </w:r>
      <w:r w:rsidRPr="00F36C39">
        <w:t xml:space="preserve">s of violence against women and girls, as stalking, forced marriage, FGM, and </w:t>
      </w:r>
      <w:r>
        <w:t xml:space="preserve">crimes committed in the name of so-called </w:t>
      </w:r>
      <w:r w:rsidRPr="00F36C39">
        <w:t>honour</w:t>
      </w:r>
      <w:r w:rsidRPr="004545CE">
        <w:t>;</w:t>
      </w:r>
    </w:p>
    <w:p w14:paraId="4FE08A01" w14:textId="77777777" w:rsidR="00884453" w:rsidRPr="004545CE" w:rsidRDefault="00884453" w:rsidP="00884453">
      <w:pPr>
        <w:pStyle w:val="SingleTxtG"/>
      </w:pPr>
      <w:r>
        <w:tab/>
        <w:t>(f)</w:t>
      </w:r>
      <w:r>
        <w:tab/>
        <w:t>The lack of adequate shelters for victims of gender-based violence against women, particularly in the northern region, namely the Sami homeland, and the inaccessibility of most shelters for women with disabilities;</w:t>
      </w:r>
    </w:p>
    <w:p w14:paraId="741B244C" w14:textId="77777777" w:rsidR="00884453" w:rsidRDefault="00884453" w:rsidP="00884453">
      <w:pPr>
        <w:pStyle w:val="SingleTxtG"/>
      </w:pPr>
      <w:r>
        <w:tab/>
        <w:t>(g)</w:t>
      </w:r>
      <w:r>
        <w:tab/>
        <w:t xml:space="preserve">The limited period of one month after an incident to receive services of the Seri centres, potentially excluding victims of domestic violence from such services; </w:t>
      </w:r>
    </w:p>
    <w:p w14:paraId="504C72F1" w14:textId="77777777" w:rsidR="00884453" w:rsidRPr="004545CE" w:rsidRDefault="00884453" w:rsidP="00884453">
      <w:pPr>
        <w:pStyle w:val="SingleTxtG"/>
      </w:pPr>
      <w:r>
        <w:tab/>
        <w:t>(h)</w:t>
      </w:r>
      <w:r>
        <w:tab/>
        <w:t>Reports that m</w:t>
      </w:r>
      <w:r w:rsidRPr="0041755A">
        <w:t>ore than 50 percent of women under the age of 35 hav</w:t>
      </w:r>
      <w:r>
        <w:t>e</w:t>
      </w:r>
      <w:r w:rsidRPr="0041755A">
        <w:t xml:space="preserve"> experienced harassment</w:t>
      </w:r>
      <w:r>
        <w:t>.</w:t>
      </w:r>
    </w:p>
    <w:p w14:paraId="1FE260CB" w14:textId="77777777" w:rsidR="00884453" w:rsidRPr="004545CE" w:rsidRDefault="00884453" w:rsidP="00884453">
      <w:pPr>
        <w:pStyle w:val="SingleTxtG"/>
        <w:rPr>
          <w:b/>
        </w:rPr>
      </w:pPr>
      <w:r w:rsidRPr="004545CE">
        <w:t>2</w:t>
      </w:r>
      <w:r w:rsidR="00F35D27">
        <w:t>4</w:t>
      </w:r>
      <w:r w:rsidRPr="004545CE">
        <w:t>.</w:t>
      </w:r>
      <w:r w:rsidRPr="004545CE">
        <w:tab/>
      </w:r>
      <w:r w:rsidRPr="004545CE">
        <w:rPr>
          <w:b/>
        </w:rPr>
        <w:t>Reiterating its previous recommendations (</w:t>
      </w:r>
      <w:r>
        <w:rPr>
          <w:b/>
        </w:rPr>
        <w:t>CEDAW/C/FIN/CO/7, para.19</w:t>
      </w:r>
      <w:r w:rsidRPr="004545CE">
        <w:rPr>
          <w:b/>
        </w:rPr>
        <w:t xml:space="preserve">), and recalling its general recommendation No. 35 (2017) on gender-based violence against women, updating general recommendation No. 19, the Committee recommends that the State party: </w:t>
      </w:r>
    </w:p>
    <w:p w14:paraId="4AA80C09" w14:textId="77777777" w:rsidR="00884453" w:rsidRPr="004545CE" w:rsidRDefault="00884453" w:rsidP="00884453">
      <w:pPr>
        <w:pStyle w:val="SingleTxtG"/>
      </w:pPr>
      <w:r w:rsidRPr="004545CE">
        <w:tab/>
        <w:t>(a)</w:t>
      </w:r>
      <w:r>
        <w:tab/>
      </w:r>
      <w:r>
        <w:rPr>
          <w:b/>
        </w:rPr>
        <w:t>E</w:t>
      </w:r>
      <w:r w:rsidRPr="006E2E50">
        <w:rPr>
          <w:b/>
        </w:rPr>
        <w:t xml:space="preserve">ffectively implement the Action Plan on the Istanbul Convention and provide the Action Plan as well as the organisations and mechanisms supporting </w:t>
      </w:r>
      <w:r>
        <w:rPr>
          <w:b/>
        </w:rPr>
        <w:t>women and girl</w:t>
      </w:r>
      <w:r w:rsidRPr="006E2E50">
        <w:rPr>
          <w:b/>
        </w:rPr>
        <w:t xml:space="preserve"> victims of </w:t>
      </w:r>
      <w:r>
        <w:rPr>
          <w:b/>
        </w:rPr>
        <w:t xml:space="preserve">gender-based </w:t>
      </w:r>
      <w:r w:rsidRPr="006E2E50">
        <w:rPr>
          <w:b/>
        </w:rPr>
        <w:t xml:space="preserve">violence, such as the Independent rapporteur on violence against women and the Coordination Unit (NAPE), with adequate human, </w:t>
      </w:r>
      <w:r>
        <w:rPr>
          <w:b/>
        </w:rPr>
        <w:t xml:space="preserve">technical and </w:t>
      </w:r>
      <w:r w:rsidRPr="006E2E50">
        <w:rPr>
          <w:b/>
        </w:rPr>
        <w:t>financial resources to allow them to effectively carry out their mandate</w:t>
      </w:r>
      <w:r w:rsidRPr="004545CE">
        <w:rPr>
          <w:b/>
        </w:rPr>
        <w:t>;</w:t>
      </w:r>
    </w:p>
    <w:p w14:paraId="2BE28944" w14:textId="77777777" w:rsidR="00884453" w:rsidRPr="004545CE" w:rsidRDefault="00884453" w:rsidP="00884453">
      <w:pPr>
        <w:pStyle w:val="SingleTxtG"/>
        <w:rPr>
          <w:b/>
        </w:rPr>
      </w:pPr>
      <w:r w:rsidRPr="004545CE">
        <w:tab/>
        <w:t>(b</w:t>
      </w:r>
      <w:r>
        <w:t>)</w:t>
      </w:r>
      <w:r>
        <w:tab/>
      </w:r>
      <w:r>
        <w:rPr>
          <w:b/>
        </w:rPr>
        <w:t>Give priority to prosecution over the use of mediation in cases of intimate partner violence and domestic violence</w:t>
      </w:r>
      <w:r w:rsidRPr="00592AC3">
        <w:t xml:space="preserve"> </w:t>
      </w:r>
      <w:r w:rsidRPr="00592AC3">
        <w:rPr>
          <w:b/>
        </w:rPr>
        <w:t>and ensure that referral to mediation does not result in the discontinuation of criminal investigation and prosecution in these cases</w:t>
      </w:r>
      <w:r w:rsidRPr="004545CE">
        <w:rPr>
          <w:b/>
        </w:rPr>
        <w:t>;</w:t>
      </w:r>
    </w:p>
    <w:p w14:paraId="2CB8C0EF" w14:textId="77777777" w:rsidR="00884453" w:rsidRPr="004545CE" w:rsidRDefault="00884453" w:rsidP="00884453">
      <w:pPr>
        <w:pStyle w:val="SingleTxtG"/>
      </w:pPr>
      <w:r w:rsidRPr="004545CE">
        <w:tab/>
        <w:t>(c</w:t>
      </w:r>
      <w:r>
        <w:t>)</w:t>
      </w:r>
      <w:r>
        <w:tab/>
      </w:r>
      <w:r>
        <w:rPr>
          <w:b/>
        </w:rPr>
        <w:t>A</w:t>
      </w:r>
      <w:r w:rsidRPr="00E21002">
        <w:rPr>
          <w:b/>
        </w:rPr>
        <w:t>mend</w:t>
      </w:r>
      <w:r>
        <w:rPr>
          <w:b/>
        </w:rPr>
        <w:t xml:space="preserve"> Chapter 20 of the Criminal Code, on sexual offences,</w:t>
      </w:r>
      <w:r w:rsidRPr="00E21002">
        <w:rPr>
          <w:b/>
        </w:rPr>
        <w:t xml:space="preserve"> to ensure</w:t>
      </w:r>
      <w:r>
        <w:rPr>
          <w:b/>
        </w:rPr>
        <w:t xml:space="preserve"> that all </w:t>
      </w:r>
      <w:r w:rsidRPr="00A05935">
        <w:rPr>
          <w:b/>
        </w:rPr>
        <w:t>non-consensual sexual</w:t>
      </w:r>
      <w:r>
        <w:rPr>
          <w:b/>
        </w:rPr>
        <w:t xml:space="preserve"> </w:t>
      </w:r>
      <w:r w:rsidRPr="00A05935">
        <w:rPr>
          <w:b/>
        </w:rPr>
        <w:t xml:space="preserve">acts </w:t>
      </w:r>
      <w:r>
        <w:rPr>
          <w:b/>
        </w:rPr>
        <w:t>involving</w:t>
      </w:r>
      <w:r w:rsidRPr="00A05935">
        <w:rPr>
          <w:b/>
        </w:rPr>
        <w:t xml:space="preserve"> abuse of </w:t>
      </w:r>
      <w:r>
        <w:rPr>
          <w:b/>
        </w:rPr>
        <w:t>power</w:t>
      </w:r>
      <w:r w:rsidRPr="00A05935">
        <w:rPr>
          <w:b/>
        </w:rPr>
        <w:t xml:space="preserve"> </w:t>
      </w:r>
      <w:r>
        <w:rPr>
          <w:b/>
        </w:rPr>
        <w:t xml:space="preserve">are defined as rape, regardless of whether </w:t>
      </w:r>
      <w:r w:rsidR="000021C8">
        <w:rPr>
          <w:b/>
        </w:rPr>
        <w:t>or not</w:t>
      </w:r>
      <w:r w:rsidR="005C71B1">
        <w:rPr>
          <w:b/>
        </w:rPr>
        <w:t xml:space="preserve"> </w:t>
      </w:r>
      <w:r>
        <w:rPr>
          <w:b/>
        </w:rPr>
        <w:t>the abuse of power is considered serious</w:t>
      </w:r>
      <w:r w:rsidR="009B1505">
        <w:rPr>
          <w:b/>
        </w:rPr>
        <w:t xml:space="preserve">, and that </w:t>
      </w:r>
      <w:r w:rsidR="009B1505" w:rsidRPr="009B1505">
        <w:rPr>
          <w:b/>
        </w:rPr>
        <w:t xml:space="preserve">all cases of sexual intercourse with </w:t>
      </w:r>
      <w:r w:rsidR="009B1505">
        <w:rPr>
          <w:b/>
        </w:rPr>
        <w:t>a minor under the age of consent are automatically considered and punished under the offence of rape</w:t>
      </w:r>
      <w:r w:rsidRPr="004545CE">
        <w:rPr>
          <w:b/>
        </w:rPr>
        <w:t>;</w:t>
      </w:r>
    </w:p>
    <w:p w14:paraId="46CE5263" w14:textId="77777777" w:rsidR="00884453" w:rsidRPr="004545CE" w:rsidRDefault="00884453" w:rsidP="00884453">
      <w:pPr>
        <w:pStyle w:val="SingleTxtG"/>
      </w:pPr>
      <w:r w:rsidRPr="004545CE">
        <w:tab/>
        <w:t>(d)</w:t>
      </w:r>
      <w:r>
        <w:tab/>
      </w:r>
      <w:r w:rsidRPr="004545CE">
        <w:rPr>
          <w:b/>
        </w:rPr>
        <w:t xml:space="preserve">Provide </w:t>
      </w:r>
      <w:r>
        <w:rPr>
          <w:b/>
        </w:rPr>
        <w:t>adequate</w:t>
      </w:r>
      <w:r w:rsidRPr="004545CE">
        <w:rPr>
          <w:b/>
        </w:rPr>
        <w:t xml:space="preserve"> shelters</w:t>
      </w:r>
      <w:r>
        <w:rPr>
          <w:b/>
        </w:rPr>
        <w:t xml:space="preserve"> for victims of gender-based violence in all regions, including the Sami homeland, and ensure that all shelters are accessible for women with disabilities</w:t>
      </w:r>
      <w:r w:rsidRPr="004545CE">
        <w:rPr>
          <w:b/>
        </w:rPr>
        <w:t>;</w:t>
      </w:r>
    </w:p>
    <w:p w14:paraId="743B7754" w14:textId="77777777" w:rsidR="00884453" w:rsidRPr="004545CE" w:rsidRDefault="00884453" w:rsidP="00884453">
      <w:pPr>
        <w:pStyle w:val="SingleTxtG"/>
      </w:pPr>
      <w:r w:rsidRPr="004545CE">
        <w:tab/>
        <w:t>(e)</w:t>
      </w:r>
      <w:r>
        <w:tab/>
      </w:r>
      <w:r>
        <w:rPr>
          <w:b/>
        </w:rPr>
        <w:t>Address the causes of underreporting in cases of rape and provide mandatory capacity building for judges, prosecutors and the police on gender-sensitive interrogation methods and</w:t>
      </w:r>
      <w:r w:rsidRPr="00CC15E9">
        <w:rPr>
          <w:b/>
          <w:bCs/>
        </w:rPr>
        <w:t xml:space="preserve"> on the strict application of r</w:t>
      </w:r>
      <w:r>
        <w:rPr>
          <w:b/>
          <w:bCs/>
        </w:rPr>
        <w:t>elevant criminal law provisions;</w:t>
      </w:r>
    </w:p>
    <w:p w14:paraId="285DC9C7" w14:textId="77777777" w:rsidR="00884453" w:rsidRDefault="00884453" w:rsidP="00884453">
      <w:pPr>
        <w:pStyle w:val="SingleTxtG"/>
        <w:rPr>
          <w:b/>
        </w:rPr>
      </w:pPr>
      <w:r w:rsidRPr="004545CE">
        <w:tab/>
        <w:t>(</w:t>
      </w:r>
      <w:r>
        <w:t>f</w:t>
      </w:r>
      <w:r w:rsidRPr="004545CE">
        <w:t>)</w:t>
      </w:r>
      <w:r>
        <w:tab/>
      </w:r>
      <w:r>
        <w:rPr>
          <w:b/>
        </w:rPr>
        <w:t>Wherever necessary, grant</w:t>
      </w:r>
      <w:r w:rsidRPr="007F7ED3">
        <w:rPr>
          <w:b/>
        </w:rPr>
        <w:t xml:space="preserve"> exemptions</w:t>
      </w:r>
      <w:r>
        <w:rPr>
          <w:b/>
        </w:rPr>
        <w:t xml:space="preserve"> from</w:t>
      </w:r>
      <w:r w:rsidRPr="007F7ED3">
        <w:rPr>
          <w:b/>
        </w:rPr>
        <w:t xml:space="preserve"> the one-month time limit for </w:t>
      </w:r>
      <w:r>
        <w:rPr>
          <w:b/>
        </w:rPr>
        <w:t xml:space="preserve">the </w:t>
      </w:r>
      <w:r w:rsidRPr="007F7ED3">
        <w:rPr>
          <w:b/>
        </w:rPr>
        <w:t>receipt of services from Seri centres</w:t>
      </w:r>
      <w:r>
        <w:rPr>
          <w:b/>
        </w:rPr>
        <w:t>;</w:t>
      </w:r>
    </w:p>
    <w:p w14:paraId="31129F4D" w14:textId="77777777" w:rsidR="00884453" w:rsidRPr="004545CE" w:rsidRDefault="00884453" w:rsidP="00884453">
      <w:pPr>
        <w:pStyle w:val="SingleTxtG"/>
        <w:rPr>
          <w:b/>
        </w:rPr>
      </w:pPr>
      <w:r>
        <w:tab/>
        <w:t>(g)</w:t>
      </w:r>
      <w:r>
        <w:tab/>
      </w:r>
      <w:r>
        <w:rPr>
          <w:b/>
        </w:rPr>
        <w:t>Take measures to address sexual harassment of women, including through awareness-raising campaigns directed at the media, teachers and employers, and ensure the strict enforcement of legislation criminalizing sexual harassment</w:t>
      </w:r>
      <w:r w:rsidRPr="007F7ED3">
        <w:rPr>
          <w:b/>
        </w:rPr>
        <w:t>.</w:t>
      </w:r>
    </w:p>
    <w:p w14:paraId="327615CE" w14:textId="77777777" w:rsidR="00884453" w:rsidRPr="00393293" w:rsidRDefault="00884453" w:rsidP="00884453">
      <w:pPr>
        <w:pStyle w:val="H23G"/>
      </w:pPr>
      <w:r>
        <w:tab/>
      </w:r>
      <w:r>
        <w:tab/>
      </w:r>
      <w:r w:rsidRPr="00393293">
        <w:t xml:space="preserve">Trafficking and exploitation of prostitution </w:t>
      </w:r>
    </w:p>
    <w:p w14:paraId="772F4897" w14:textId="77777777" w:rsidR="00884453" w:rsidRPr="004545CE" w:rsidRDefault="00884453" w:rsidP="00884453">
      <w:pPr>
        <w:pStyle w:val="SingleTxtG"/>
      </w:pPr>
      <w:r w:rsidRPr="004545CE">
        <w:t>2</w:t>
      </w:r>
      <w:r w:rsidR="00BA6552">
        <w:t>5</w:t>
      </w:r>
      <w:r w:rsidRPr="004545CE">
        <w:t>.</w:t>
      </w:r>
      <w:r w:rsidRPr="004545CE">
        <w:tab/>
        <w:t xml:space="preserve">The Committee welcomes </w:t>
      </w:r>
      <w:r>
        <w:t>the organisation of training courses on trafficking in human beings and takes note of the State party’s indication that under the</w:t>
      </w:r>
      <w:r w:rsidRPr="00C65B92">
        <w:t xml:space="preserve"> National Action Plan against </w:t>
      </w:r>
      <w:r>
        <w:t>Trafficking in Human Beings</w:t>
      </w:r>
      <w:r w:rsidRPr="00C65B92">
        <w:t xml:space="preserve">, the application of the provision of the Aliens </w:t>
      </w:r>
      <w:r>
        <w:t>Law</w:t>
      </w:r>
      <w:r w:rsidRPr="00C65B92">
        <w:t xml:space="preserve"> on suspicion of selling sex as grounds for denial of admittance or stay will be reviewed and the need for legislative amendments and to develop practices assessed</w:t>
      </w:r>
      <w:r w:rsidRPr="004545CE">
        <w:t>.</w:t>
      </w:r>
      <w:r w:rsidRPr="009F4E91">
        <w:rPr>
          <w:rStyle w:val="FootnoteReference"/>
        </w:rPr>
        <w:t xml:space="preserve"> </w:t>
      </w:r>
      <w:r>
        <w:t xml:space="preserve">The Committee further </w:t>
      </w:r>
      <w:r>
        <w:lastRenderedPageBreak/>
        <w:t>notes that a</w:t>
      </w:r>
      <w:r w:rsidRPr="00370DC4">
        <w:t xml:space="preserve"> government proposal</w:t>
      </w:r>
      <w:r>
        <w:t xml:space="preserve"> amending</w:t>
      </w:r>
      <w:r w:rsidRPr="007023C9">
        <w:t xml:space="preserve"> the </w:t>
      </w:r>
      <w:r>
        <w:t>Law</w:t>
      </w:r>
      <w:r w:rsidRPr="007023C9">
        <w:t xml:space="preserve"> on the Reception of Persons Seeking International Protection and on the Identification and Assistance of Victims of Trafficking in Human Beings (388/2015; Reception </w:t>
      </w:r>
      <w:r>
        <w:t>Law</w:t>
      </w:r>
      <w:r w:rsidRPr="007023C9">
        <w:t xml:space="preserve">) </w:t>
      </w:r>
      <w:r>
        <w:t>concerning assistance to victims</w:t>
      </w:r>
      <w:r w:rsidRPr="00370DC4">
        <w:t xml:space="preserve"> is expected to be submitted to Parliament at the end of 2022</w:t>
      </w:r>
      <w:r>
        <w:t xml:space="preserve">. </w:t>
      </w:r>
      <w:r w:rsidRPr="004545CE">
        <w:t>The Committee is nevertheless concerned:</w:t>
      </w:r>
    </w:p>
    <w:p w14:paraId="6C00B101" w14:textId="77777777" w:rsidR="00884453" w:rsidRPr="004545CE" w:rsidRDefault="00884453" w:rsidP="00884453">
      <w:pPr>
        <w:pStyle w:val="SingleTxtG"/>
      </w:pPr>
      <w:r>
        <w:tab/>
        <w:t>(a)</w:t>
      </w:r>
      <w:r>
        <w:tab/>
        <w:t>That trafficking crimes continue</w:t>
      </w:r>
      <w:r w:rsidRPr="007023C9">
        <w:t xml:space="preserve"> to be processed as other types of crimes and victims remained unidentified</w:t>
      </w:r>
      <w:r w:rsidRPr="004545CE">
        <w:t xml:space="preserve">; </w:t>
      </w:r>
    </w:p>
    <w:p w14:paraId="71935FC8" w14:textId="77777777" w:rsidR="00884453" w:rsidRPr="004545CE" w:rsidRDefault="00884453" w:rsidP="00884453">
      <w:pPr>
        <w:pStyle w:val="SingleTxtG"/>
      </w:pPr>
      <w:r w:rsidRPr="004545CE">
        <w:tab/>
        <w:t>(</w:t>
      </w:r>
      <w:r>
        <w:t>b</w:t>
      </w:r>
      <w:r w:rsidRPr="004545CE">
        <w:t>)</w:t>
      </w:r>
      <w:r>
        <w:tab/>
        <w:t>That th</w:t>
      </w:r>
      <w:r w:rsidRPr="00C65B92">
        <w:t xml:space="preserve">e Aliens </w:t>
      </w:r>
      <w:r>
        <w:t>Law</w:t>
      </w:r>
      <w:r w:rsidRPr="00C65B92">
        <w:t xml:space="preserve"> (301/2004)</w:t>
      </w:r>
      <w:r>
        <w:t xml:space="preserve"> has not yet been amended to reduce the risk of deportation of victims of trafficking and the practice of applying the Aliens Law to grant residency to trafficking victims is inconsistent</w:t>
      </w:r>
      <w:r w:rsidRPr="004545CE">
        <w:t>;</w:t>
      </w:r>
    </w:p>
    <w:p w14:paraId="3DCE7591" w14:textId="77777777" w:rsidR="00884453" w:rsidRDefault="00884453" w:rsidP="00884453">
      <w:pPr>
        <w:pStyle w:val="SingleTxtG"/>
      </w:pPr>
      <w:r w:rsidRPr="004545CE">
        <w:tab/>
        <w:t>(</w:t>
      </w:r>
      <w:r>
        <w:t>c</w:t>
      </w:r>
      <w:r w:rsidRPr="004545CE">
        <w:t>)</w:t>
      </w:r>
      <w:r>
        <w:tab/>
        <w:t>About the lack of information on measures taken by the State party to reduce the demand for prostitution and provide alternative income generating opportunities to women who wish to leave prostitution.</w:t>
      </w:r>
    </w:p>
    <w:p w14:paraId="34810388" w14:textId="77777777" w:rsidR="00884453" w:rsidRPr="004545CE" w:rsidRDefault="00884453" w:rsidP="00884453">
      <w:pPr>
        <w:pStyle w:val="SingleTxtG"/>
      </w:pPr>
      <w:r w:rsidRPr="004545CE">
        <w:t>2</w:t>
      </w:r>
      <w:r w:rsidR="00BA6552">
        <w:t>6</w:t>
      </w:r>
      <w:r w:rsidRPr="004545CE">
        <w:t>.</w:t>
      </w:r>
      <w:r w:rsidRPr="004545CE">
        <w:tab/>
      </w:r>
      <w:r w:rsidRPr="004545CE">
        <w:rPr>
          <w:b/>
        </w:rPr>
        <w:t>Recalling its previous recommendations (CEDAW/C/</w:t>
      </w:r>
      <w:r>
        <w:rPr>
          <w:b/>
        </w:rPr>
        <w:t>FIN</w:t>
      </w:r>
      <w:r w:rsidRPr="004545CE">
        <w:rPr>
          <w:b/>
        </w:rPr>
        <w:t>/CO/</w:t>
      </w:r>
      <w:r>
        <w:rPr>
          <w:b/>
        </w:rPr>
        <w:t>7</w:t>
      </w:r>
      <w:r w:rsidRPr="004545CE">
        <w:rPr>
          <w:b/>
        </w:rPr>
        <w:t>, para. 2</w:t>
      </w:r>
      <w:r>
        <w:rPr>
          <w:b/>
        </w:rPr>
        <w:t>1</w:t>
      </w:r>
      <w:r w:rsidRPr="004545CE">
        <w:rPr>
          <w:b/>
        </w:rPr>
        <w:t>), and its general recommendation No. 38 (2020) on trafficking in women and girls in the context of global migration, the Committee recommends that the State party:</w:t>
      </w:r>
    </w:p>
    <w:p w14:paraId="547159AA" w14:textId="77777777" w:rsidR="00884453" w:rsidRDefault="00884453" w:rsidP="00884453">
      <w:pPr>
        <w:pStyle w:val="SingleTxtG"/>
      </w:pPr>
      <w:r>
        <w:tab/>
        <w:t>(a)</w:t>
      </w:r>
      <w:r>
        <w:tab/>
      </w:r>
      <w:r w:rsidRPr="000C2B40">
        <w:rPr>
          <w:b/>
        </w:rPr>
        <w:t>Provide training for law enforcement officers, border control personnel health-care providers, and other first responders on the early identification of victims of trafficking and their referral to appropriate services for their protection and rehabilitation</w:t>
      </w:r>
      <w:r>
        <w:t>;</w:t>
      </w:r>
    </w:p>
    <w:p w14:paraId="1B899FC2" w14:textId="77777777" w:rsidR="00884453" w:rsidRPr="006B0E26" w:rsidRDefault="00884453" w:rsidP="00884453">
      <w:pPr>
        <w:pStyle w:val="SingleTxtG"/>
        <w:rPr>
          <w:b/>
        </w:rPr>
      </w:pPr>
      <w:r>
        <w:rPr>
          <w:b/>
        </w:rPr>
        <w:tab/>
      </w:r>
      <w:r w:rsidRPr="006B0E26">
        <w:t>(</w:t>
      </w:r>
      <w:r>
        <w:t>b</w:t>
      </w:r>
      <w:r w:rsidRPr="006B0E26">
        <w:t>)</w:t>
      </w:r>
      <w:r>
        <w:rPr>
          <w:b/>
        </w:rPr>
        <w:tab/>
        <w:t xml:space="preserve">Expedite the amendments to the Aliens Law and strengthen the capacity of police officers, prosecutors and the judiciary to apply properly </w:t>
      </w:r>
      <w:r w:rsidRPr="00B20DCE">
        <w:rPr>
          <w:b/>
        </w:rPr>
        <w:t>the legally guaranteed principle of non-punishment</w:t>
      </w:r>
      <w:r>
        <w:rPr>
          <w:b/>
        </w:rPr>
        <w:t xml:space="preserve"> of victims of trafficking</w:t>
      </w:r>
      <w:r w:rsidRPr="004545CE">
        <w:rPr>
          <w:b/>
        </w:rPr>
        <w:t>;</w:t>
      </w:r>
    </w:p>
    <w:p w14:paraId="09C29685" w14:textId="77777777" w:rsidR="00884453" w:rsidRPr="00692F8C" w:rsidRDefault="00884453" w:rsidP="00884453">
      <w:pPr>
        <w:pStyle w:val="SingleTxtG"/>
        <w:rPr>
          <w:b/>
        </w:rPr>
      </w:pPr>
      <w:r w:rsidRPr="004545CE">
        <w:tab/>
        <w:t>(</w:t>
      </w:r>
      <w:r>
        <w:t>c</w:t>
      </w:r>
      <w:r w:rsidRPr="004545CE">
        <w:t>)</w:t>
      </w:r>
      <w:r>
        <w:tab/>
      </w:r>
      <w:r>
        <w:rPr>
          <w:b/>
        </w:rPr>
        <w:t>Take appropriate</w:t>
      </w:r>
      <w:r w:rsidRPr="00F15C65">
        <w:rPr>
          <w:b/>
        </w:rPr>
        <w:t xml:space="preserve"> </w:t>
      </w:r>
      <w:r>
        <w:rPr>
          <w:b/>
        </w:rPr>
        <w:t xml:space="preserve">legislative and other </w:t>
      </w:r>
      <w:r w:rsidRPr="00F15C65">
        <w:rPr>
          <w:b/>
        </w:rPr>
        <w:t>measures</w:t>
      </w:r>
      <w:r>
        <w:rPr>
          <w:b/>
        </w:rPr>
        <w:t>, including awareness raising activities and the criminalisation of the demand for prostitution, based on the results of the</w:t>
      </w:r>
      <w:r w:rsidRPr="00F15C65">
        <w:rPr>
          <w:b/>
        </w:rPr>
        <w:t xml:space="preserve"> survey on the current situation of prostitution in Finland</w:t>
      </w:r>
      <w:r>
        <w:rPr>
          <w:b/>
        </w:rPr>
        <w:t xml:space="preserve"> carried out under</w:t>
      </w:r>
      <w:r w:rsidRPr="00F15C65">
        <w:rPr>
          <w:b/>
        </w:rPr>
        <w:t xml:space="preserve"> </w:t>
      </w:r>
      <w:r>
        <w:rPr>
          <w:b/>
        </w:rPr>
        <w:t xml:space="preserve">the </w:t>
      </w:r>
      <w:r w:rsidRPr="00F15C65">
        <w:rPr>
          <w:b/>
        </w:rPr>
        <w:t>Action Plan for Gender Equality (2020–2023</w:t>
      </w:r>
      <w:r>
        <w:rPr>
          <w:b/>
        </w:rPr>
        <w:t xml:space="preserve">), </w:t>
      </w:r>
      <w:r w:rsidRPr="00F15C65">
        <w:rPr>
          <w:b/>
        </w:rPr>
        <w:t>to reduce the demand for prostitution</w:t>
      </w:r>
      <w:r>
        <w:rPr>
          <w:b/>
        </w:rPr>
        <w:t>,</w:t>
      </w:r>
      <w:r w:rsidRPr="00F15C65">
        <w:rPr>
          <w:b/>
        </w:rPr>
        <w:t xml:space="preserve"> and</w:t>
      </w:r>
      <w:r>
        <w:rPr>
          <w:b/>
        </w:rPr>
        <w:t xml:space="preserve"> put in place programmes to </w:t>
      </w:r>
      <w:r w:rsidRPr="00692F8C">
        <w:rPr>
          <w:b/>
        </w:rPr>
        <w:t>assist wo</w:t>
      </w:r>
      <w:r>
        <w:rPr>
          <w:b/>
        </w:rPr>
        <w:t>men and girls who wish to leave prostitution, includ</w:t>
      </w:r>
      <w:r w:rsidRPr="00692F8C">
        <w:rPr>
          <w:b/>
        </w:rPr>
        <w:t xml:space="preserve">ing </w:t>
      </w:r>
      <w:r>
        <w:rPr>
          <w:b/>
        </w:rPr>
        <w:t>programmes providing</w:t>
      </w:r>
      <w:r w:rsidRPr="00692F8C">
        <w:rPr>
          <w:b/>
        </w:rPr>
        <w:t xml:space="preserve"> alternative income generating opportunities</w:t>
      </w:r>
      <w:r w:rsidRPr="004545CE">
        <w:rPr>
          <w:b/>
        </w:rPr>
        <w:t>.</w:t>
      </w:r>
    </w:p>
    <w:p w14:paraId="091512E8" w14:textId="77777777" w:rsidR="00884453" w:rsidRDefault="00884453" w:rsidP="00884453">
      <w:pPr>
        <w:pStyle w:val="H23G"/>
      </w:pPr>
      <w:r>
        <w:tab/>
      </w:r>
      <w:r>
        <w:tab/>
      </w:r>
      <w:r w:rsidRPr="00393293">
        <w:t xml:space="preserve">Equal </w:t>
      </w:r>
      <w:r>
        <w:t>p</w:t>
      </w:r>
      <w:r w:rsidRPr="00393293">
        <w:t>articipati</w:t>
      </w:r>
      <w:r>
        <w:t>on in political and public life</w:t>
      </w:r>
    </w:p>
    <w:p w14:paraId="088316AA" w14:textId="77777777" w:rsidR="00884453" w:rsidRPr="004545CE" w:rsidRDefault="00884453" w:rsidP="00884453">
      <w:pPr>
        <w:pStyle w:val="SingleTxtG"/>
      </w:pPr>
      <w:r w:rsidRPr="004545CE">
        <w:t>2</w:t>
      </w:r>
      <w:r w:rsidR="00BA6552">
        <w:t>7</w:t>
      </w:r>
      <w:r w:rsidRPr="004545CE">
        <w:t>.</w:t>
      </w:r>
      <w:r w:rsidRPr="004545CE">
        <w:tab/>
        <w:t xml:space="preserve">The Committee </w:t>
      </w:r>
      <w:r>
        <w:t xml:space="preserve">welcomes the high percentage of women in the State party’s parliament (45.5 per cent), among the State party s representatives in the European Parliament (57.1 per cent) and as ambassadors in the civil service (50%). </w:t>
      </w:r>
      <w:r w:rsidRPr="004545CE">
        <w:t>The Committee</w:t>
      </w:r>
      <w:r>
        <w:t xml:space="preserve"> </w:t>
      </w:r>
      <w:r w:rsidRPr="004545CE">
        <w:t>notes with concern, however,</w:t>
      </w:r>
      <w:r>
        <w:t xml:space="preserve"> that</w:t>
      </w:r>
      <w:r w:rsidRPr="004545CE">
        <w:t>:</w:t>
      </w:r>
    </w:p>
    <w:p w14:paraId="28093D11" w14:textId="77777777" w:rsidR="00884453" w:rsidRDefault="00884453" w:rsidP="00884453">
      <w:pPr>
        <w:pStyle w:val="SingleTxtG"/>
      </w:pPr>
      <w:r w:rsidRPr="004545CE">
        <w:tab/>
        <w:t>(a)</w:t>
      </w:r>
      <w:r>
        <w:tab/>
        <w:t xml:space="preserve">The majority of </w:t>
      </w:r>
      <w:r w:rsidRPr="00502B5F">
        <w:t xml:space="preserve">the candidates in municipal elections </w:t>
      </w:r>
      <w:r>
        <w:t>are</w:t>
      </w:r>
      <w:r w:rsidRPr="00502B5F">
        <w:t xml:space="preserve"> men</w:t>
      </w:r>
      <w:r w:rsidR="00BA6552">
        <w:t>;</w:t>
      </w:r>
      <w:r>
        <w:t xml:space="preserve"> </w:t>
      </w:r>
    </w:p>
    <w:p w14:paraId="05788FB1" w14:textId="77777777" w:rsidR="00884453" w:rsidRPr="004545CE" w:rsidRDefault="00884453" w:rsidP="00884453">
      <w:pPr>
        <w:pStyle w:val="SingleTxtG"/>
      </w:pPr>
      <w:r>
        <w:tab/>
        <w:t>(b)</w:t>
      </w:r>
      <w:r>
        <w:tab/>
        <w:t>Migrant women, women with disabilities, women from ethnic minorities and Roma women are underrepresented in political and public life and notes the lack of statistical data on their situation</w:t>
      </w:r>
      <w:r w:rsidRPr="004545CE">
        <w:t>;</w:t>
      </w:r>
      <w:r w:rsidRPr="00E20DCE">
        <w:rPr>
          <w:rStyle w:val="FootnoteReference"/>
        </w:rPr>
        <w:t xml:space="preserve"> </w:t>
      </w:r>
    </w:p>
    <w:p w14:paraId="7D2D3CF5" w14:textId="77777777" w:rsidR="00884453" w:rsidRDefault="00884453" w:rsidP="00884453">
      <w:pPr>
        <w:pStyle w:val="SingleTxtG"/>
      </w:pPr>
      <w:r>
        <w:tab/>
        <w:t>(c)</w:t>
      </w:r>
      <w:r>
        <w:tab/>
      </w:r>
      <w:r w:rsidRPr="00F6617B">
        <w:t xml:space="preserve">In the Sámi Parliament, </w:t>
      </w:r>
      <w:r>
        <w:t xml:space="preserve">only eight </w:t>
      </w:r>
      <w:r w:rsidRPr="00F6617B">
        <w:t>out of 21 members and</w:t>
      </w:r>
      <w:r>
        <w:t xml:space="preserve"> 1 out of</w:t>
      </w:r>
      <w:r w:rsidRPr="00F6617B">
        <w:t xml:space="preserve"> 4 deputy members are women.</w:t>
      </w:r>
      <w:r>
        <w:t xml:space="preserve"> And o</w:t>
      </w:r>
      <w:r w:rsidRPr="00FD30D0">
        <w:t>n</w:t>
      </w:r>
      <w:r>
        <w:t>ly ten</w:t>
      </w:r>
      <w:r w:rsidRPr="00FD30D0">
        <w:t xml:space="preserve"> members of all 30 members of the Parliament of Åland are women</w:t>
      </w:r>
      <w:r>
        <w:t>;</w:t>
      </w:r>
    </w:p>
    <w:p w14:paraId="4B888408" w14:textId="77777777" w:rsidR="00884453" w:rsidRPr="004545CE" w:rsidRDefault="00884453" w:rsidP="00884453">
      <w:pPr>
        <w:pStyle w:val="SingleTxtG"/>
      </w:pPr>
      <w:r>
        <w:tab/>
        <w:t>(d)</w:t>
      </w:r>
      <w:r>
        <w:tab/>
        <w:t>Women are underrepresented in high ranking roles in the defence forces.</w:t>
      </w:r>
    </w:p>
    <w:p w14:paraId="4F3DF8A7" w14:textId="77777777" w:rsidR="00884453" w:rsidRPr="004545CE" w:rsidRDefault="00884453" w:rsidP="00884453">
      <w:pPr>
        <w:pStyle w:val="SingleTxtG"/>
      </w:pPr>
      <w:r w:rsidRPr="004545CE">
        <w:t>2</w:t>
      </w:r>
      <w:r w:rsidR="00BA6552">
        <w:t>8</w:t>
      </w:r>
      <w:r w:rsidRPr="004545CE">
        <w:t>.</w:t>
      </w:r>
      <w:r w:rsidRPr="004545CE">
        <w:tab/>
      </w:r>
      <w:r w:rsidRPr="004545CE">
        <w:rPr>
          <w:b/>
        </w:rPr>
        <w:t>Reiterating its previous recommendations (CEDAW/C/</w:t>
      </w:r>
      <w:r>
        <w:rPr>
          <w:b/>
        </w:rPr>
        <w:t>FIN</w:t>
      </w:r>
      <w:r w:rsidRPr="004545CE">
        <w:rPr>
          <w:b/>
        </w:rPr>
        <w:t>/CO/</w:t>
      </w:r>
      <w:r>
        <w:rPr>
          <w:b/>
        </w:rPr>
        <w:t>7</w:t>
      </w:r>
      <w:r w:rsidRPr="004545CE">
        <w:rPr>
          <w:b/>
        </w:rPr>
        <w:t>, para. 2</w:t>
      </w:r>
      <w:r>
        <w:rPr>
          <w:b/>
        </w:rPr>
        <w:t>3</w:t>
      </w:r>
      <w:r w:rsidRPr="004545CE">
        <w:rPr>
          <w:b/>
        </w:rPr>
        <w:t>, and recalling its general recommendation No. 23 (1997) on women in political and public life</w:t>
      </w:r>
      <w:r>
        <w:rPr>
          <w:b/>
        </w:rPr>
        <w:t xml:space="preserve"> and its </w:t>
      </w:r>
      <w:r w:rsidRPr="003500CB">
        <w:rPr>
          <w:b/>
        </w:rPr>
        <w:t>general recommendation No. 25 on temporary special measures</w:t>
      </w:r>
      <w:r w:rsidRPr="004545CE">
        <w:rPr>
          <w:b/>
        </w:rPr>
        <w:t>, the Committee recommends that the State party:</w:t>
      </w:r>
    </w:p>
    <w:p w14:paraId="1778FF07" w14:textId="77777777" w:rsidR="00884453" w:rsidRPr="004545CE" w:rsidRDefault="00884453" w:rsidP="00884453">
      <w:pPr>
        <w:pStyle w:val="SingleTxtG"/>
      </w:pPr>
      <w:r w:rsidRPr="004545CE">
        <w:tab/>
        <w:t>(a)</w:t>
      </w:r>
      <w:r>
        <w:tab/>
      </w:r>
      <w:r w:rsidRPr="004545CE">
        <w:rPr>
          <w:b/>
        </w:rPr>
        <w:t xml:space="preserve">Adopt </w:t>
      </w:r>
      <w:r>
        <w:rPr>
          <w:b/>
        </w:rPr>
        <w:t>measures</w:t>
      </w:r>
      <w:r w:rsidRPr="004545CE">
        <w:rPr>
          <w:b/>
        </w:rPr>
        <w:t>, including temporary special measures such as statutory quotas or incentives for political parties to include an equal number of women and men in their electoral lists, especially at the municipal level;</w:t>
      </w:r>
    </w:p>
    <w:p w14:paraId="17DC79A6" w14:textId="77777777" w:rsidR="00884453" w:rsidRPr="00E20DCE" w:rsidRDefault="00884453" w:rsidP="00884453">
      <w:pPr>
        <w:pStyle w:val="SingleTxtG"/>
        <w:rPr>
          <w:b/>
        </w:rPr>
      </w:pPr>
      <w:r w:rsidRPr="004545CE">
        <w:lastRenderedPageBreak/>
        <w:tab/>
        <w:t>(b</w:t>
      </w:r>
      <w:r>
        <w:t>)</w:t>
      </w:r>
      <w:r>
        <w:tab/>
      </w:r>
      <w:r>
        <w:rPr>
          <w:b/>
        </w:rPr>
        <w:t>Put in place measures, including temporary special measures, t</w:t>
      </w:r>
      <w:r w:rsidRPr="00E20DCE">
        <w:rPr>
          <w:b/>
        </w:rPr>
        <w:t xml:space="preserve">o ensure that the </w:t>
      </w:r>
      <w:r>
        <w:rPr>
          <w:b/>
        </w:rPr>
        <w:t xml:space="preserve">representation of women in political and public life, and particularly in leadership positions, </w:t>
      </w:r>
      <w:r w:rsidRPr="00E20DCE">
        <w:rPr>
          <w:b/>
        </w:rPr>
        <w:t>reflects the full diversity of the population;</w:t>
      </w:r>
    </w:p>
    <w:p w14:paraId="0033A170" w14:textId="77777777" w:rsidR="00884453" w:rsidRDefault="00884453" w:rsidP="00884453">
      <w:pPr>
        <w:pStyle w:val="SingleTxtG"/>
      </w:pPr>
      <w:r>
        <w:rPr>
          <w:b/>
        </w:rPr>
        <w:tab/>
      </w:r>
      <w:r w:rsidRPr="003A20A5">
        <w:t>(c)</w:t>
      </w:r>
      <w:r>
        <w:rPr>
          <w:b/>
        </w:rPr>
        <w:tab/>
        <w:t>Carry out awareness raising activities, with a particular emphasis on the region of Aland and the Sami populations,</w:t>
      </w:r>
      <w:r w:rsidRPr="003A20A5">
        <w:rPr>
          <w:b/>
        </w:rPr>
        <w:t xml:space="preserve"> </w:t>
      </w:r>
      <w:r w:rsidRPr="007E43E7">
        <w:rPr>
          <w:b/>
        </w:rPr>
        <w:t>to accelerate women’s equal representation in political and public life</w:t>
      </w:r>
      <w:r>
        <w:rPr>
          <w:b/>
        </w:rPr>
        <w:t>;</w:t>
      </w:r>
      <w:r>
        <w:tab/>
      </w:r>
    </w:p>
    <w:p w14:paraId="57C4E7C7" w14:textId="77777777" w:rsidR="00884453" w:rsidRPr="004545CE" w:rsidRDefault="00884453" w:rsidP="00884453">
      <w:pPr>
        <w:pStyle w:val="SingleTxtG"/>
        <w:rPr>
          <w:b/>
        </w:rPr>
      </w:pPr>
      <w:r>
        <w:tab/>
        <w:t>(d)</w:t>
      </w:r>
      <w:r>
        <w:tab/>
      </w:r>
      <w:r w:rsidRPr="00DB1745">
        <w:rPr>
          <w:b/>
        </w:rPr>
        <w:t xml:space="preserve">Putting in place temporary special measures, including statutory quotas, for the representation of women in decision-making positions in the defence forces. </w:t>
      </w:r>
    </w:p>
    <w:p w14:paraId="37FCAFEF" w14:textId="77777777" w:rsidR="00884453" w:rsidRDefault="00884453" w:rsidP="00884453">
      <w:pPr>
        <w:pStyle w:val="H23G"/>
      </w:pPr>
      <w:r>
        <w:tab/>
      </w:r>
      <w:r>
        <w:tab/>
      </w:r>
      <w:r>
        <w:tab/>
      </w:r>
      <w:r w:rsidRPr="00393293">
        <w:t>Education</w:t>
      </w:r>
    </w:p>
    <w:p w14:paraId="73F6489A" w14:textId="77777777" w:rsidR="00884453" w:rsidRPr="004545CE" w:rsidRDefault="00BA6552" w:rsidP="00884453">
      <w:pPr>
        <w:pStyle w:val="SingleTxtG"/>
      </w:pPr>
      <w:r>
        <w:t>29</w:t>
      </w:r>
      <w:r w:rsidR="00884453" w:rsidRPr="004545CE">
        <w:t>.</w:t>
      </w:r>
      <w:r w:rsidR="00884453" w:rsidRPr="004545CE">
        <w:tab/>
        <w:t xml:space="preserve">The Committee </w:t>
      </w:r>
      <w:r w:rsidR="00884453">
        <w:t>notes the State party’s indication that legislation integrating e</w:t>
      </w:r>
      <w:r w:rsidR="00884453" w:rsidRPr="00644BDD">
        <w:t xml:space="preserve">quality and non-discrimination </w:t>
      </w:r>
      <w:r w:rsidR="00884453">
        <w:t>in the curriculum for</w:t>
      </w:r>
      <w:r w:rsidR="00884453" w:rsidRPr="00644BDD">
        <w:t xml:space="preserve"> early childhood education </w:t>
      </w:r>
      <w:r w:rsidR="00884453">
        <w:t>will enter into force</w:t>
      </w:r>
      <w:r w:rsidR="00884453" w:rsidRPr="00644BDD">
        <w:t xml:space="preserve"> in 2023</w:t>
      </w:r>
      <w:r w:rsidR="00884453">
        <w:t>. It welcomes</w:t>
      </w:r>
      <w:r w:rsidR="00884453" w:rsidRPr="00D75CB9">
        <w:t xml:space="preserve"> the State party</w:t>
      </w:r>
      <w:r w:rsidR="00884453">
        <w:t>’s efforts to include</w:t>
      </w:r>
      <w:r w:rsidR="00884453" w:rsidRPr="00D75CB9">
        <w:t xml:space="preserve"> courses on non-discrimination, equality and intimate partner violence in military academy curricula</w:t>
      </w:r>
      <w:r w:rsidR="00884453">
        <w:t xml:space="preserve">. </w:t>
      </w:r>
      <w:r w:rsidR="00884453" w:rsidRPr="0084709F">
        <w:t xml:space="preserve">The </w:t>
      </w:r>
      <w:r w:rsidR="00884453">
        <w:t xml:space="preserve">Committee also welcomes the fact that the </w:t>
      </w:r>
      <w:r w:rsidR="00884453" w:rsidRPr="0084709F">
        <w:t xml:space="preserve">Government of Åland supports projects to encourage </w:t>
      </w:r>
      <w:r w:rsidR="00884453">
        <w:t xml:space="preserve">girls and </w:t>
      </w:r>
      <w:r w:rsidR="00884453" w:rsidRPr="0084709F">
        <w:t>boys to make non-traditional educational choices</w:t>
      </w:r>
      <w:r w:rsidR="00884453">
        <w:t>. The Committee welcomes the publication in 2021 of t</w:t>
      </w:r>
      <w:r w:rsidR="00884453" w:rsidRPr="00B50971">
        <w:t xml:space="preserve">he action plan to prevent bullying, violence and harassment in schools and educational institutions </w:t>
      </w:r>
      <w:r w:rsidR="00884453">
        <w:t>and the publication by t</w:t>
      </w:r>
      <w:r w:rsidR="00884453" w:rsidRPr="00262039">
        <w:t xml:space="preserve">he Finnish National Agency for Education </w:t>
      </w:r>
      <w:r w:rsidR="00884453">
        <w:t>of</w:t>
      </w:r>
      <w:r w:rsidR="00884453" w:rsidRPr="00262039">
        <w:t xml:space="preserve"> a guide on preventing and intervening in sexual harassment</w:t>
      </w:r>
      <w:r w:rsidR="00884453">
        <w:t xml:space="preserve"> case</w:t>
      </w:r>
      <w:r w:rsidR="00884453" w:rsidRPr="00262039">
        <w:t>s at schools and educational institutions</w:t>
      </w:r>
      <w:r w:rsidR="00884453" w:rsidRPr="004545CE">
        <w:t xml:space="preserve">. The Committee, however, </w:t>
      </w:r>
      <w:r w:rsidR="00884453">
        <w:t>notes with</w:t>
      </w:r>
      <w:r w:rsidR="00884453" w:rsidRPr="004545CE">
        <w:t xml:space="preserve"> concern:</w:t>
      </w:r>
    </w:p>
    <w:p w14:paraId="4A4C218C" w14:textId="77777777" w:rsidR="00884453" w:rsidRPr="004545CE" w:rsidRDefault="00884453" w:rsidP="00884453">
      <w:pPr>
        <w:pStyle w:val="SingleTxtG"/>
      </w:pPr>
      <w:r w:rsidRPr="004545CE">
        <w:tab/>
        <w:t>(a</w:t>
      </w:r>
      <w:r>
        <w:t>)</w:t>
      </w:r>
      <w:r>
        <w:tab/>
        <w:t>The reportedly high incidence of bullying against girls and boys in schools;</w:t>
      </w:r>
    </w:p>
    <w:p w14:paraId="65AFDD63" w14:textId="77777777" w:rsidR="00884453" w:rsidRDefault="00884453" w:rsidP="00884453">
      <w:pPr>
        <w:pStyle w:val="SingleTxtG"/>
      </w:pPr>
      <w:r w:rsidRPr="004545CE">
        <w:tab/>
        <w:t>(b</w:t>
      </w:r>
      <w:r>
        <w:t>)</w:t>
      </w:r>
      <w:r>
        <w:tab/>
        <w:t>Persistent g</w:t>
      </w:r>
      <w:r w:rsidRPr="004545CE">
        <w:t>ender segregation in the education sector</w:t>
      </w:r>
      <w:r>
        <w:t xml:space="preserve"> and the low number</w:t>
      </w:r>
      <w:r w:rsidRPr="004545CE">
        <w:t xml:space="preserve"> of women and girls choosing non</w:t>
      </w:r>
      <w:r w:rsidRPr="004545CE">
        <w:noBreakHyphen/>
        <w:t>traditional fields of study and career paths</w:t>
      </w:r>
      <w:r>
        <w:t>;</w:t>
      </w:r>
    </w:p>
    <w:p w14:paraId="26CCFD87" w14:textId="77777777" w:rsidR="00884453" w:rsidRPr="004545CE" w:rsidRDefault="00884453" w:rsidP="00884453">
      <w:pPr>
        <w:pStyle w:val="SingleTxtG"/>
      </w:pPr>
      <w:r w:rsidRPr="004545CE">
        <w:tab/>
        <w:t>(c</w:t>
      </w:r>
      <w:r>
        <w:t>)</w:t>
      </w:r>
      <w:r>
        <w:tab/>
        <w:t>Women’s underrepresentation in high-level academic positions despite the high number of women in higher education.</w:t>
      </w:r>
    </w:p>
    <w:p w14:paraId="2126E05D" w14:textId="77777777" w:rsidR="00884453" w:rsidRPr="004545CE" w:rsidRDefault="00884453" w:rsidP="00884453">
      <w:pPr>
        <w:pStyle w:val="SingleTxtG"/>
      </w:pPr>
      <w:r w:rsidRPr="004545CE">
        <w:t>3</w:t>
      </w:r>
      <w:r w:rsidR="00BA6552">
        <w:t>0</w:t>
      </w:r>
      <w:r w:rsidRPr="004545CE">
        <w:t>.</w:t>
      </w:r>
      <w:r w:rsidRPr="004545CE">
        <w:tab/>
      </w:r>
      <w:r w:rsidRPr="004545CE">
        <w:rPr>
          <w:b/>
        </w:rPr>
        <w:t>Reiterating its previous recommendations (CEDAW/C/</w:t>
      </w:r>
      <w:r>
        <w:rPr>
          <w:b/>
        </w:rPr>
        <w:t>FIN</w:t>
      </w:r>
      <w:r w:rsidRPr="004545CE">
        <w:rPr>
          <w:b/>
        </w:rPr>
        <w:t>/CO/</w:t>
      </w:r>
      <w:r>
        <w:rPr>
          <w:b/>
        </w:rPr>
        <w:t>7</w:t>
      </w:r>
      <w:r w:rsidRPr="004545CE">
        <w:rPr>
          <w:b/>
        </w:rPr>
        <w:t xml:space="preserve"> para. </w:t>
      </w:r>
      <w:r>
        <w:rPr>
          <w:b/>
        </w:rPr>
        <w:t>25</w:t>
      </w:r>
      <w:r w:rsidRPr="004545CE">
        <w:rPr>
          <w:b/>
        </w:rPr>
        <w:t xml:space="preserve">), and recalling its general recommendation No. 36 </w:t>
      </w:r>
      <w:r>
        <w:rPr>
          <w:b/>
        </w:rPr>
        <w:t xml:space="preserve">(2017) </w:t>
      </w:r>
      <w:r w:rsidRPr="004545CE">
        <w:rPr>
          <w:b/>
        </w:rPr>
        <w:t>on the right of girls and women to education, the Committee recommends that the State party:</w:t>
      </w:r>
    </w:p>
    <w:p w14:paraId="6B7A0BBA" w14:textId="77777777" w:rsidR="00884453" w:rsidRDefault="00884453" w:rsidP="00884453">
      <w:pPr>
        <w:pStyle w:val="SingleTxtG"/>
      </w:pPr>
      <w:r w:rsidRPr="004545CE">
        <w:tab/>
        <w:t>(a)</w:t>
      </w:r>
      <w:r>
        <w:tab/>
      </w:r>
      <w:r>
        <w:rPr>
          <w:b/>
        </w:rPr>
        <w:t>Allocate sufficient resources for and monitor the</w:t>
      </w:r>
      <w:r w:rsidRPr="001D3DDB">
        <w:rPr>
          <w:b/>
        </w:rPr>
        <w:t xml:space="preserve"> implement</w:t>
      </w:r>
      <w:r>
        <w:rPr>
          <w:b/>
        </w:rPr>
        <w:t>ation of</w:t>
      </w:r>
      <w:r w:rsidRPr="001D3DDB">
        <w:rPr>
          <w:b/>
        </w:rPr>
        <w:t xml:space="preserve"> </w:t>
      </w:r>
      <w:r>
        <w:rPr>
          <w:b/>
        </w:rPr>
        <w:t>the</w:t>
      </w:r>
      <w:r w:rsidRPr="001D3DDB">
        <w:rPr>
          <w:b/>
        </w:rPr>
        <w:t xml:space="preserve"> national anti-bullying </w:t>
      </w:r>
      <w:r>
        <w:rPr>
          <w:b/>
        </w:rPr>
        <w:t>action plan</w:t>
      </w:r>
      <w:r w:rsidRPr="001D3DDB">
        <w:rPr>
          <w:b/>
        </w:rPr>
        <w:t xml:space="preserve"> to provide safe and inclusive educational environments free from discrimination, harassment and </w:t>
      </w:r>
      <w:r>
        <w:rPr>
          <w:b/>
        </w:rPr>
        <w:t xml:space="preserve">gender-based </w:t>
      </w:r>
      <w:r w:rsidRPr="001D3DDB">
        <w:rPr>
          <w:b/>
        </w:rPr>
        <w:t>violence</w:t>
      </w:r>
      <w:r w:rsidR="00CC75ED">
        <w:rPr>
          <w:b/>
        </w:rPr>
        <w:t>, strengthen the role of counsellors in ensuring</w:t>
      </w:r>
      <w:r w:rsidR="00CC75ED" w:rsidRPr="00CC75ED">
        <w:rPr>
          <w:b/>
        </w:rPr>
        <w:t xml:space="preserve"> safe and inclusive educational environments</w:t>
      </w:r>
      <w:r w:rsidR="00CC75ED">
        <w:rPr>
          <w:b/>
        </w:rPr>
        <w:t xml:space="preserve">, impose </w:t>
      </w:r>
      <w:r w:rsidR="007771D8">
        <w:rPr>
          <w:b/>
        </w:rPr>
        <w:t xml:space="preserve">and implement </w:t>
      </w:r>
      <w:r w:rsidR="00CC75ED">
        <w:rPr>
          <w:b/>
        </w:rPr>
        <w:t>sanctions for bullying,</w:t>
      </w:r>
      <w:r w:rsidRPr="001D3DDB">
        <w:rPr>
          <w:b/>
        </w:rPr>
        <w:t xml:space="preserve"> </w:t>
      </w:r>
      <w:r>
        <w:rPr>
          <w:b/>
        </w:rPr>
        <w:t>and</w:t>
      </w:r>
      <w:r w:rsidRPr="001D3DDB">
        <w:rPr>
          <w:b/>
        </w:rPr>
        <w:t xml:space="preserve"> address </w:t>
      </w:r>
      <w:r>
        <w:rPr>
          <w:b/>
        </w:rPr>
        <w:t>intersecting forms of discrimination faced by disadvantaged</w:t>
      </w:r>
      <w:r w:rsidRPr="001D3DDB">
        <w:rPr>
          <w:b/>
        </w:rPr>
        <w:t xml:space="preserve"> </w:t>
      </w:r>
      <w:r>
        <w:rPr>
          <w:b/>
        </w:rPr>
        <w:t xml:space="preserve">groups </w:t>
      </w:r>
      <w:r w:rsidRPr="001D3DDB">
        <w:rPr>
          <w:b/>
        </w:rPr>
        <w:t xml:space="preserve">of women and girls </w:t>
      </w:r>
      <w:r>
        <w:rPr>
          <w:b/>
        </w:rPr>
        <w:t>in the education system;</w:t>
      </w:r>
    </w:p>
    <w:p w14:paraId="4420C466" w14:textId="77777777" w:rsidR="00884453" w:rsidRPr="001D3DDB" w:rsidRDefault="00884453" w:rsidP="00884453">
      <w:pPr>
        <w:pStyle w:val="SingleTxtG"/>
      </w:pPr>
      <w:r>
        <w:tab/>
        <w:t>(b)</w:t>
      </w:r>
      <w:r>
        <w:tab/>
      </w:r>
      <w:r w:rsidRPr="001D3DDB">
        <w:rPr>
          <w:b/>
        </w:rPr>
        <w:t>Continue to promote women’s and girls’ participation in non-traditional fields of study and career paths, in particular in science, technology, engineering and mathematics (STEM) and information and communication technology (ICT)</w:t>
      </w:r>
      <w:r w:rsidR="00660239">
        <w:rPr>
          <w:b/>
        </w:rPr>
        <w:t xml:space="preserve">, </w:t>
      </w:r>
      <w:r w:rsidR="00660239" w:rsidRPr="00660239">
        <w:rPr>
          <w:b/>
        </w:rPr>
        <w:t>adopting temporary special measures</w:t>
      </w:r>
      <w:r w:rsidR="00660239">
        <w:rPr>
          <w:b/>
        </w:rPr>
        <w:t xml:space="preserve"> in this regard</w:t>
      </w:r>
      <w:r w:rsidR="00660239" w:rsidRPr="00660239">
        <w:rPr>
          <w:b/>
        </w:rPr>
        <w:t xml:space="preserve">, in </w:t>
      </w:r>
      <w:r w:rsidR="00660239">
        <w:rPr>
          <w:b/>
        </w:rPr>
        <w:t xml:space="preserve">line with article 4 of the Convention and </w:t>
      </w:r>
      <w:r w:rsidR="00660239" w:rsidRPr="00660239">
        <w:rPr>
          <w:b/>
        </w:rPr>
        <w:t>the Committee’s general recommendation No.</w:t>
      </w:r>
      <w:r w:rsidR="00660239">
        <w:rPr>
          <w:b/>
        </w:rPr>
        <w:t>25</w:t>
      </w:r>
      <w:r w:rsidRPr="001D3DDB">
        <w:rPr>
          <w:b/>
        </w:rPr>
        <w:t>;</w:t>
      </w:r>
    </w:p>
    <w:p w14:paraId="381B5133" w14:textId="5C5B0873" w:rsidR="00884453" w:rsidRPr="001D3DDB" w:rsidRDefault="00884453" w:rsidP="00884453">
      <w:pPr>
        <w:pStyle w:val="SingleTxtG"/>
      </w:pPr>
      <w:r w:rsidRPr="001D3DDB">
        <w:tab/>
        <w:t>(c)</w:t>
      </w:r>
      <w:r w:rsidRPr="001D3DDB">
        <w:tab/>
      </w:r>
      <w:r w:rsidR="00D83344">
        <w:rPr>
          <w:b/>
        </w:rPr>
        <w:t>E</w:t>
      </w:r>
      <w:r w:rsidR="00D83344" w:rsidRPr="00D83344">
        <w:rPr>
          <w:b/>
        </w:rPr>
        <w:t xml:space="preserve">ncourage the introduction of </w:t>
      </w:r>
      <w:r w:rsidRPr="001D3DDB">
        <w:rPr>
          <w:b/>
        </w:rPr>
        <w:t>temporary special measures, such as statutory quota</w:t>
      </w:r>
      <w:r w:rsidR="00660239">
        <w:rPr>
          <w:b/>
        </w:rPr>
        <w:t>s</w:t>
      </w:r>
      <w:r w:rsidRPr="001D3DDB">
        <w:rPr>
          <w:b/>
        </w:rPr>
        <w:t>, to ensure the equal representation of women in high-level academic pos</w:t>
      </w:r>
      <w:r>
        <w:rPr>
          <w:b/>
        </w:rPr>
        <w:t>itions</w:t>
      </w:r>
      <w:r w:rsidRPr="001D3DDB">
        <w:rPr>
          <w:b/>
        </w:rPr>
        <w:t>.</w:t>
      </w:r>
    </w:p>
    <w:p w14:paraId="0B06EAB2" w14:textId="77777777" w:rsidR="00884453" w:rsidRDefault="00884453" w:rsidP="00884453">
      <w:pPr>
        <w:pStyle w:val="H23G"/>
      </w:pPr>
      <w:r>
        <w:tab/>
      </w:r>
      <w:r>
        <w:tab/>
      </w:r>
      <w:r w:rsidRPr="00393293">
        <w:t>Employment</w:t>
      </w:r>
    </w:p>
    <w:p w14:paraId="236667FC" w14:textId="77777777" w:rsidR="00884453" w:rsidRPr="009065F7" w:rsidRDefault="00884453" w:rsidP="00884453">
      <w:pPr>
        <w:pStyle w:val="SingleTxtG"/>
      </w:pPr>
      <w:r w:rsidRPr="009065F7">
        <w:t>3</w:t>
      </w:r>
      <w:r w:rsidR="00BA6552">
        <w:t>1</w:t>
      </w:r>
      <w:r w:rsidRPr="009065F7">
        <w:t>.</w:t>
      </w:r>
      <w:r w:rsidRPr="009065F7">
        <w:tab/>
        <w:t xml:space="preserve">The Committee welcomes </w:t>
      </w:r>
      <w:r>
        <w:t>the recent legislative amendments providing equal family leave for both parents and additional leave to single parents. It takes note of the State party’s efforts to eliminate</w:t>
      </w:r>
      <w:r w:rsidRPr="003345AB">
        <w:t xml:space="preserve"> gender segregation in </w:t>
      </w:r>
      <w:r>
        <w:t xml:space="preserve">the labour market and its intention to reduce the gender pay gap to 12 per cent by 2025. </w:t>
      </w:r>
      <w:r w:rsidRPr="009065F7">
        <w:t xml:space="preserve">The Committee </w:t>
      </w:r>
      <w:r>
        <w:t>nevertheless notes with concern</w:t>
      </w:r>
      <w:r w:rsidRPr="009065F7">
        <w:t>:</w:t>
      </w:r>
    </w:p>
    <w:p w14:paraId="2AB006AA" w14:textId="77777777" w:rsidR="00884453" w:rsidRPr="009065F7" w:rsidRDefault="00884453" w:rsidP="00884453">
      <w:pPr>
        <w:pStyle w:val="SingleTxtG"/>
      </w:pPr>
      <w:r w:rsidRPr="009065F7">
        <w:tab/>
        <w:t>(a</w:t>
      </w:r>
      <w:r>
        <w:t>)</w:t>
      </w:r>
      <w:r>
        <w:tab/>
        <w:t>Persistent gender segregation in the labour market, where women are concentrated in traditionally “female” occupational sector</w:t>
      </w:r>
      <w:r w:rsidR="000E28DB">
        <w:t>s</w:t>
      </w:r>
      <w:r>
        <w:t xml:space="preserve"> such as care work, and the increased risk of gender segregation through the transition to teleworking</w:t>
      </w:r>
      <w:r w:rsidRPr="009065F7">
        <w:t>;</w:t>
      </w:r>
    </w:p>
    <w:p w14:paraId="3DFC729D" w14:textId="77777777" w:rsidR="00884453" w:rsidRPr="009065F7" w:rsidRDefault="00884453" w:rsidP="00884453">
      <w:pPr>
        <w:pStyle w:val="SingleTxtG"/>
      </w:pPr>
      <w:r w:rsidRPr="009065F7">
        <w:lastRenderedPageBreak/>
        <w:tab/>
        <w:t>(b</w:t>
      </w:r>
      <w:r>
        <w:t>)</w:t>
      </w:r>
      <w:r>
        <w:tab/>
      </w:r>
      <w:r w:rsidRPr="009065F7">
        <w:t xml:space="preserve">The </w:t>
      </w:r>
      <w:r>
        <w:t>persistent</w:t>
      </w:r>
      <w:r w:rsidRPr="009065F7">
        <w:t xml:space="preserve"> gender </w:t>
      </w:r>
      <w:r>
        <w:t>pay</w:t>
      </w:r>
      <w:r w:rsidRPr="009065F7">
        <w:t xml:space="preserve"> gap </w:t>
      </w:r>
      <w:r>
        <w:t xml:space="preserve">of 16 per cent, </w:t>
      </w:r>
      <w:r w:rsidRPr="00EC6E17">
        <w:t xml:space="preserve">which </w:t>
      </w:r>
      <w:r>
        <w:t>adversely affects</w:t>
      </w:r>
      <w:r w:rsidRPr="00EC6E17">
        <w:t xml:space="preserve"> women’s pension</w:t>
      </w:r>
      <w:r>
        <w:t xml:space="preserve"> benefit</w:t>
      </w:r>
      <w:r w:rsidRPr="00EC6E17">
        <w:t>s</w:t>
      </w:r>
      <w:r w:rsidRPr="009065F7">
        <w:t xml:space="preserve">; </w:t>
      </w:r>
    </w:p>
    <w:p w14:paraId="18C5B61F" w14:textId="77777777" w:rsidR="00884453" w:rsidRPr="009065F7" w:rsidRDefault="00884453" w:rsidP="00884453">
      <w:pPr>
        <w:pStyle w:val="SingleTxtG"/>
      </w:pPr>
      <w:r w:rsidRPr="009065F7">
        <w:tab/>
        <w:t>(c</w:t>
      </w:r>
      <w:r>
        <w:t>)</w:t>
      </w:r>
      <w:r>
        <w:tab/>
        <w:t xml:space="preserve">The difficulties experienced by women belonging to ethnic </w:t>
      </w:r>
      <w:r w:rsidRPr="002D4EE5">
        <w:t xml:space="preserve">minorities, </w:t>
      </w:r>
      <w:r>
        <w:t xml:space="preserve">migrant women and </w:t>
      </w:r>
      <w:r w:rsidRPr="002D4EE5">
        <w:t xml:space="preserve">women with disabilities </w:t>
      </w:r>
      <w:r>
        <w:t>in</w:t>
      </w:r>
      <w:r w:rsidRPr="002D4EE5">
        <w:t xml:space="preserve"> access</w:t>
      </w:r>
      <w:r>
        <w:t>ing secure, well-paid and full time work</w:t>
      </w:r>
      <w:r w:rsidRPr="009065F7">
        <w:t>;</w:t>
      </w:r>
    </w:p>
    <w:p w14:paraId="73E888DE" w14:textId="77777777" w:rsidR="00884453" w:rsidRDefault="00884453" w:rsidP="00884453">
      <w:pPr>
        <w:pStyle w:val="SingleTxtG"/>
      </w:pPr>
      <w:r>
        <w:tab/>
        <w:t>(d)</w:t>
      </w:r>
      <w:r>
        <w:tab/>
        <w:t>Discrimination against women based on pregnancy and maternity</w:t>
      </w:r>
      <w:r w:rsidR="00BA6552">
        <w:t>;</w:t>
      </w:r>
    </w:p>
    <w:p w14:paraId="3AD7A309" w14:textId="77777777" w:rsidR="00DC1AE0" w:rsidRDefault="00884453" w:rsidP="00884453">
      <w:pPr>
        <w:pStyle w:val="SingleTxtG"/>
      </w:pPr>
      <w:r>
        <w:tab/>
        <w:t>(e)</w:t>
      </w:r>
      <w:r>
        <w:tab/>
        <w:t>The low percentage of men who take parental leave</w:t>
      </w:r>
      <w:r w:rsidR="00DC1AE0">
        <w:t>;</w:t>
      </w:r>
    </w:p>
    <w:p w14:paraId="7D9669CE" w14:textId="77777777" w:rsidR="00884453" w:rsidRPr="009065F7" w:rsidRDefault="00DC1AE0" w:rsidP="00DC1AE0">
      <w:pPr>
        <w:pStyle w:val="SingleTxtG"/>
      </w:pPr>
      <w:r>
        <w:tab/>
      </w:r>
      <w:r w:rsidR="007A3407">
        <w:t>(f)</w:t>
      </w:r>
      <w:r w:rsidR="007A3407">
        <w:tab/>
        <w:t>The disproportionately low representation</w:t>
      </w:r>
      <w:r>
        <w:t xml:space="preserve"> of women in decision - making processes and positions in the economic sector</w:t>
      </w:r>
      <w:r w:rsidR="00884453">
        <w:t>.</w:t>
      </w:r>
    </w:p>
    <w:p w14:paraId="0E66065D" w14:textId="77777777" w:rsidR="00884453" w:rsidRPr="009065F7" w:rsidRDefault="00884453" w:rsidP="00884453">
      <w:pPr>
        <w:pStyle w:val="SingleTxtG"/>
      </w:pPr>
      <w:r w:rsidRPr="009065F7">
        <w:t>3</w:t>
      </w:r>
      <w:r w:rsidR="00BA6552">
        <w:t>2</w:t>
      </w:r>
      <w:r w:rsidRPr="009065F7">
        <w:t>.</w:t>
      </w:r>
      <w:r w:rsidRPr="009065F7">
        <w:tab/>
      </w:r>
      <w:r w:rsidRPr="009065F7">
        <w:rPr>
          <w:b/>
        </w:rPr>
        <w:t>With reference to its previous recommendations (CEDAW/C/</w:t>
      </w:r>
      <w:r>
        <w:rPr>
          <w:b/>
        </w:rPr>
        <w:t>FIN</w:t>
      </w:r>
      <w:r w:rsidRPr="009065F7">
        <w:rPr>
          <w:b/>
        </w:rPr>
        <w:t>/CO/</w:t>
      </w:r>
      <w:r>
        <w:rPr>
          <w:b/>
        </w:rPr>
        <w:t>7</w:t>
      </w:r>
      <w:r w:rsidRPr="009065F7">
        <w:rPr>
          <w:b/>
        </w:rPr>
        <w:t xml:space="preserve">, para. </w:t>
      </w:r>
      <w:r>
        <w:rPr>
          <w:b/>
        </w:rPr>
        <w:t>27</w:t>
      </w:r>
      <w:r w:rsidRPr="009065F7">
        <w:rPr>
          <w:b/>
        </w:rPr>
        <w:t>), the Committee recommends that the State party:</w:t>
      </w:r>
    </w:p>
    <w:p w14:paraId="7B0EE171" w14:textId="77777777" w:rsidR="00884453" w:rsidRPr="009065F7" w:rsidRDefault="00884453" w:rsidP="00884453">
      <w:pPr>
        <w:pStyle w:val="SingleTxtG"/>
      </w:pPr>
      <w:r w:rsidRPr="009065F7">
        <w:tab/>
        <w:t>(a)</w:t>
      </w:r>
      <w:r>
        <w:tab/>
      </w:r>
      <w:r w:rsidRPr="00E41C4D">
        <w:rPr>
          <w:b/>
        </w:rPr>
        <w:t xml:space="preserve">Take </w:t>
      </w:r>
      <w:r>
        <w:rPr>
          <w:b/>
        </w:rPr>
        <w:t xml:space="preserve">legislative and policy </w:t>
      </w:r>
      <w:r w:rsidRPr="00E41C4D">
        <w:rPr>
          <w:b/>
        </w:rPr>
        <w:t xml:space="preserve">measures, including temporary special measures in accordance with article 4 (1) of the Convention, </w:t>
      </w:r>
      <w:r>
        <w:rPr>
          <w:b/>
        </w:rPr>
        <w:t>such as</w:t>
      </w:r>
      <w:r w:rsidRPr="00E41C4D">
        <w:rPr>
          <w:b/>
        </w:rPr>
        <w:t xml:space="preserve"> quotas and </w:t>
      </w:r>
      <w:r>
        <w:rPr>
          <w:b/>
        </w:rPr>
        <w:t xml:space="preserve">financial </w:t>
      </w:r>
      <w:r w:rsidRPr="00E41C4D">
        <w:rPr>
          <w:b/>
        </w:rPr>
        <w:t>incentives</w:t>
      </w:r>
      <w:r>
        <w:rPr>
          <w:b/>
        </w:rPr>
        <w:t xml:space="preserve"> for employers</w:t>
      </w:r>
      <w:r w:rsidRPr="00E41C4D">
        <w:rPr>
          <w:b/>
        </w:rPr>
        <w:t xml:space="preserve">, to promote </w:t>
      </w:r>
      <w:r>
        <w:rPr>
          <w:b/>
        </w:rPr>
        <w:t>women’s representation in</w:t>
      </w:r>
      <w:r w:rsidRPr="00E41C4D">
        <w:rPr>
          <w:b/>
        </w:rPr>
        <w:t xml:space="preserve"> non-traditional career paths </w:t>
      </w:r>
      <w:r>
        <w:rPr>
          <w:b/>
        </w:rPr>
        <w:t xml:space="preserve">and </w:t>
      </w:r>
      <w:r w:rsidRPr="00E41C4D">
        <w:rPr>
          <w:b/>
        </w:rPr>
        <w:t>to reduce gender segregation in the labour market</w:t>
      </w:r>
      <w:r w:rsidR="00C1370A">
        <w:rPr>
          <w:b/>
        </w:rPr>
        <w:t xml:space="preserve">, particularly </w:t>
      </w:r>
      <w:r w:rsidR="00C1370A" w:rsidRPr="00C1370A">
        <w:rPr>
          <w:b/>
        </w:rPr>
        <w:t>in innovative sectors such as the digital sector</w:t>
      </w:r>
      <w:r w:rsidR="00C1370A">
        <w:rPr>
          <w:b/>
        </w:rPr>
        <w:t>, and consider developing a national plan to address the issue</w:t>
      </w:r>
      <w:r w:rsidRPr="009065F7">
        <w:rPr>
          <w:b/>
        </w:rPr>
        <w:t>;</w:t>
      </w:r>
    </w:p>
    <w:p w14:paraId="04EBAD15" w14:textId="77777777" w:rsidR="00884453" w:rsidRPr="009065F7" w:rsidRDefault="00884453" w:rsidP="00884453">
      <w:pPr>
        <w:pStyle w:val="SingleTxtG"/>
        <w:rPr>
          <w:b/>
        </w:rPr>
      </w:pPr>
      <w:r w:rsidRPr="009065F7">
        <w:tab/>
        <w:t>(b)</w:t>
      </w:r>
      <w:r>
        <w:tab/>
      </w:r>
      <w:r>
        <w:rPr>
          <w:b/>
        </w:rPr>
        <w:t>E</w:t>
      </w:r>
      <w:r w:rsidRPr="00CF3FDA">
        <w:rPr>
          <w:b/>
        </w:rPr>
        <w:t>nsure salary transparency</w:t>
      </w:r>
      <w:r>
        <w:rPr>
          <w:b/>
        </w:rPr>
        <w:t xml:space="preserve"> and that both public and private companies to respect the principle of equal pay for work of equal value, </w:t>
      </w:r>
      <w:r w:rsidRPr="00BC5B11">
        <w:rPr>
          <w:b/>
          <w:bCs/>
        </w:rPr>
        <w:t>and regularly review wages in sectors where women are concentrated and adopt measures to close the gender pay gap, including through gender-neutral analytical job classification and evaluation methods and regular pay surveys</w:t>
      </w:r>
      <w:r w:rsidRPr="009065F7">
        <w:rPr>
          <w:b/>
        </w:rPr>
        <w:t>;</w:t>
      </w:r>
    </w:p>
    <w:p w14:paraId="605BAA03" w14:textId="77777777" w:rsidR="00884453" w:rsidRPr="009065F7" w:rsidRDefault="00884453" w:rsidP="00884453">
      <w:pPr>
        <w:pStyle w:val="SingleTxtG"/>
      </w:pPr>
      <w:r w:rsidRPr="009065F7">
        <w:tab/>
        <w:t>(c</w:t>
      </w:r>
      <w:r>
        <w:t>)</w:t>
      </w:r>
      <w:r>
        <w:tab/>
      </w:r>
      <w:r w:rsidRPr="0081682A">
        <w:rPr>
          <w:b/>
        </w:rPr>
        <w:t xml:space="preserve">Develop effective strategies and policies to improve </w:t>
      </w:r>
      <w:r>
        <w:rPr>
          <w:b/>
        </w:rPr>
        <w:t xml:space="preserve">women’s </w:t>
      </w:r>
      <w:r w:rsidRPr="0081682A">
        <w:rPr>
          <w:b/>
        </w:rPr>
        <w:t xml:space="preserve">access to secure, well-paid jobs with a particular emphasis on </w:t>
      </w:r>
      <w:r w:rsidRPr="0052227C">
        <w:rPr>
          <w:b/>
          <w:bCs/>
        </w:rPr>
        <w:t>disadvantaged groups</w:t>
      </w:r>
      <w:r>
        <w:rPr>
          <w:b/>
          <w:bCs/>
        </w:rPr>
        <w:t xml:space="preserve"> of women</w:t>
      </w:r>
      <w:r w:rsidRPr="0052227C">
        <w:rPr>
          <w:b/>
          <w:bCs/>
        </w:rPr>
        <w:t>, including migrant women, women</w:t>
      </w:r>
      <w:r>
        <w:rPr>
          <w:b/>
          <w:bCs/>
        </w:rPr>
        <w:t xml:space="preserve"> from ethnic minority groups</w:t>
      </w:r>
      <w:r w:rsidRPr="0052227C">
        <w:rPr>
          <w:b/>
          <w:bCs/>
        </w:rPr>
        <w:t>, single mothers, older women and women with disabilities</w:t>
      </w:r>
      <w:r w:rsidRPr="009065F7">
        <w:rPr>
          <w:b/>
        </w:rPr>
        <w:t>;</w:t>
      </w:r>
      <w:r w:rsidRPr="009065F7">
        <w:t xml:space="preserve"> </w:t>
      </w:r>
    </w:p>
    <w:p w14:paraId="37961573" w14:textId="77777777" w:rsidR="00884453" w:rsidRPr="009065F7" w:rsidRDefault="00884453" w:rsidP="00884453">
      <w:pPr>
        <w:pStyle w:val="SingleTxtG"/>
      </w:pPr>
      <w:r>
        <w:tab/>
        <w:t>(d)</w:t>
      </w:r>
      <w:r>
        <w:tab/>
      </w:r>
      <w:r>
        <w:rPr>
          <w:b/>
        </w:rPr>
        <w:t>Strictly enforce the provisions of the Equality Act prohibiting discrimination against women based on pregnancy or maternity and provide adequate reparation to victims of such discrimination, including the possibility of reinstatement in their job in case of unfair dismissals</w:t>
      </w:r>
      <w:r w:rsidRPr="009065F7">
        <w:rPr>
          <w:b/>
        </w:rPr>
        <w:t>;</w:t>
      </w:r>
    </w:p>
    <w:p w14:paraId="13C1A6E2" w14:textId="77777777" w:rsidR="00DC1AE0" w:rsidRDefault="00884453" w:rsidP="00884453">
      <w:pPr>
        <w:pStyle w:val="SingleTxtG"/>
        <w:rPr>
          <w:b/>
        </w:rPr>
      </w:pPr>
      <w:r w:rsidRPr="009065F7">
        <w:tab/>
        <w:t>(e)</w:t>
      </w:r>
      <w:r>
        <w:tab/>
      </w:r>
      <w:r w:rsidRPr="00AD1BD7">
        <w:rPr>
          <w:b/>
        </w:rPr>
        <w:t xml:space="preserve">Implement measures to ensure the equal </w:t>
      </w:r>
      <w:r>
        <w:rPr>
          <w:b/>
        </w:rPr>
        <w:t>sharing domestic</w:t>
      </w:r>
      <w:r w:rsidRPr="00AD1BD7">
        <w:rPr>
          <w:b/>
        </w:rPr>
        <w:t xml:space="preserve"> responsibilities</w:t>
      </w:r>
      <w:r>
        <w:rPr>
          <w:b/>
        </w:rPr>
        <w:t xml:space="preserve"> between women and men and encourage men to avail themselves of their full parental leave</w:t>
      </w:r>
      <w:r w:rsidR="00DC1AE0">
        <w:rPr>
          <w:b/>
        </w:rPr>
        <w:t>;</w:t>
      </w:r>
    </w:p>
    <w:p w14:paraId="072BF83C" w14:textId="77777777" w:rsidR="00884453" w:rsidRPr="005F2111" w:rsidRDefault="00DC1AE0" w:rsidP="00884453">
      <w:pPr>
        <w:pStyle w:val="SingleTxtG"/>
        <w:rPr>
          <w:b/>
          <w:bCs/>
        </w:rPr>
      </w:pPr>
      <w:r>
        <w:tab/>
        <w:t>(f)</w:t>
      </w:r>
      <w:r>
        <w:tab/>
      </w:r>
      <w:r w:rsidR="007A3407" w:rsidRPr="005F2111">
        <w:rPr>
          <w:b/>
          <w:bCs/>
        </w:rPr>
        <w:t>Introduce</w:t>
      </w:r>
      <w:r w:rsidRPr="005F2111">
        <w:rPr>
          <w:b/>
          <w:bCs/>
        </w:rPr>
        <w:t xml:space="preserve"> relevant policies to significantly increase women’s </w:t>
      </w:r>
      <w:r w:rsidR="007A3407" w:rsidRPr="005F2111">
        <w:rPr>
          <w:b/>
          <w:bCs/>
        </w:rPr>
        <w:t>decision-making position</w:t>
      </w:r>
      <w:r w:rsidRPr="005F2111">
        <w:rPr>
          <w:b/>
          <w:bCs/>
        </w:rPr>
        <w:t xml:space="preserve"> in the private sector, including in the most innovative sectors, such as </w:t>
      </w:r>
      <w:r w:rsidR="007A3407" w:rsidRPr="005F2111">
        <w:rPr>
          <w:b/>
          <w:bCs/>
        </w:rPr>
        <w:t xml:space="preserve">the </w:t>
      </w:r>
      <w:r w:rsidRPr="005F2111">
        <w:rPr>
          <w:b/>
          <w:bCs/>
        </w:rPr>
        <w:t xml:space="preserve">digital </w:t>
      </w:r>
      <w:r w:rsidR="00E51747" w:rsidRPr="005F2111">
        <w:rPr>
          <w:b/>
          <w:bCs/>
        </w:rPr>
        <w:t>sector</w:t>
      </w:r>
      <w:r w:rsidR="00884453" w:rsidRPr="006F7946">
        <w:rPr>
          <w:b/>
          <w:bCs/>
        </w:rPr>
        <w:t>.</w:t>
      </w:r>
    </w:p>
    <w:p w14:paraId="3CDEB7E4" w14:textId="77777777" w:rsidR="00884453" w:rsidRPr="003F380A" w:rsidRDefault="00884453" w:rsidP="00884453">
      <w:pPr>
        <w:pStyle w:val="H23G"/>
      </w:pPr>
      <w:r>
        <w:tab/>
      </w:r>
      <w:r>
        <w:tab/>
      </w:r>
      <w:r w:rsidRPr="003F380A">
        <w:t>Health</w:t>
      </w:r>
    </w:p>
    <w:p w14:paraId="4741721B" w14:textId="77777777" w:rsidR="00884453" w:rsidRPr="009065F7" w:rsidRDefault="00884453" w:rsidP="00884453">
      <w:pPr>
        <w:pStyle w:val="SingleTxtG"/>
      </w:pPr>
      <w:r w:rsidRPr="009065F7">
        <w:t>3</w:t>
      </w:r>
      <w:r w:rsidR="00BA6552">
        <w:t>3</w:t>
      </w:r>
      <w:r w:rsidRPr="009065F7">
        <w:t>.</w:t>
      </w:r>
      <w:r w:rsidRPr="009065F7">
        <w:tab/>
        <w:t xml:space="preserve">The Committee </w:t>
      </w:r>
      <w:r>
        <w:t xml:space="preserve">notes with appreciation that the Parliament has </w:t>
      </w:r>
      <w:r w:rsidRPr="00083DB8">
        <w:t>accepted the Government proposal on health and social service reform</w:t>
      </w:r>
      <w:r>
        <w:t>,</w:t>
      </w:r>
      <w:r w:rsidRPr="00083DB8">
        <w:t xml:space="preserve"> </w:t>
      </w:r>
      <w:r>
        <w:t xml:space="preserve">which will include improving the </w:t>
      </w:r>
      <w:r w:rsidRPr="00E44A72">
        <w:t>availability and accessibility</w:t>
      </w:r>
      <w:r>
        <w:t xml:space="preserve"> of quality health services provided by skilled health professionals. It also notes with appreciation that the State party has taken measures to address the mental health of young women and girls, including eating orders.</w:t>
      </w:r>
      <w:r w:rsidRPr="000E3095">
        <w:t xml:space="preserve"> </w:t>
      </w:r>
      <w:r w:rsidRPr="009065F7">
        <w:t xml:space="preserve">The Committee nevertheless </w:t>
      </w:r>
      <w:r>
        <w:t xml:space="preserve">notes with </w:t>
      </w:r>
      <w:r w:rsidRPr="009065F7">
        <w:t>concern:</w:t>
      </w:r>
    </w:p>
    <w:p w14:paraId="434F2AED" w14:textId="513C782C" w:rsidR="00884453" w:rsidRDefault="00884453" w:rsidP="00884453">
      <w:pPr>
        <w:pStyle w:val="SingleTxtG"/>
      </w:pPr>
      <w:r w:rsidRPr="009065F7">
        <w:tab/>
        <w:t>(</w:t>
      </w:r>
      <w:r w:rsidR="006F4E0C">
        <w:t>a</w:t>
      </w:r>
      <w:r w:rsidRPr="009065F7">
        <w:t>)</w:t>
      </w:r>
      <w:r>
        <w:tab/>
        <w:t>That despite a decrease in the number of suicides over the last two decades, the suicide rate, including among women, remains higher in the State party than in any other Member State of the European Union and that the mortality rate by suicide of women under the age of 25 has increased in the past ten years</w:t>
      </w:r>
      <w:r w:rsidRPr="009065F7">
        <w:t>;</w:t>
      </w:r>
    </w:p>
    <w:p w14:paraId="4F2E9D3D" w14:textId="17DB1238" w:rsidR="00F07218" w:rsidRPr="009065F7" w:rsidRDefault="00F07218" w:rsidP="00884453">
      <w:pPr>
        <w:pStyle w:val="SingleTxtG"/>
      </w:pPr>
      <w:r>
        <w:tab/>
        <w:t>(</w:t>
      </w:r>
      <w:r w:rsidR="006F4E0C">
        <w:t>b</w:t>
      </w:r>
      <w:r>
        <w:t>)</w:t>
      </w:r>
      <w:r>
        <w:tab/>
        <w:t>That the number of women and girls suffering from eating disorders remains alarmingly high.</w:t>
      </w:r>
    </w:p>
    <w:p w14:paraId="4A531084" w14:textId="77777777" w:rsidR="00884453" w:rsidRPr="009065F7" w:rsidRDefault="00884453" w:rsidP="00884453">
      <w:pPr>
        <w:pStyle w:val="SingleTxtG"/>
        <w:rPr>
          <w:b/>
        </w:rPr>
      </w:pPr>
      <w:r w:rsidRPr="009065F7">
        <w:t>3</w:t>
      </w:r>
      <w:r w:rsidR="00BA6552">
        <w:t>4</w:t>
      </w:r>
      <w:r w:rsidRPr="009065F7">
        <w:t>.</w:t>
      </w:r>
      <w:r w:rsidRPr="009065F7">
        <w:tab/>
      </w:r>
      <w:r w:rsidRPr="009065F7">
        <w:rPr>
          <w:b/>
        </w:rPr>
        <w:t>Recalling its previous recommendations (CEDAW/C/</w:t>
      </w:r>
      <w:r>
        <w:rPr>
          <w:b/>
        </w:rPr>
        <w:t>FIN</w:t>
      </w:r>
      <w:r w:rsidRPr="009065F7">
        <w:rPr>
          <w:b/>
        </w:rPr>
        <w:t>/CO/</w:t>
      </w:r>
      <w:r>
        <w:rPr>
          <w:b/>
        </w:rPr>
        <w:t>7</w:t>
      </w:r>
      <w:r w:rsidRPr="009065F7">
        <w:rPr>
          <w:b/>
        </w:rPr>
        <w:t xml:space="preserve">, para. </w:t>
      </w:r>
      <w:r>
        <w:rPr>
          <w:b/>
        </w:rPr>
        <w:t>29</w:t>
      </w:r>
      <w:r w:rsidRPr="009065F7">
        <w:rPr>
          <w:b/>
        </w:rPr>
        <w:t>), the Committee recommends that the State party:</w:t>
      </w:r>
    </w:p>
    <w:p w14:paraId="6B1E93FC" w14:textId="5761DE06" w:rsidR="00884453" w:rsidRDefault="00884453" w:rsidP="00884453">
      <w:pPr>
        <w:pStyle w:val="SingleTxtG"/>
      </w:pPr>
      <w:r w:rsidRPr="009065F7">
        <w:lastRenderedPageBreak/>
        <w:tab/>
        <w:t>(</w:t>
      </w:r>
      <w:r w:rsidR="007A3407">
        <w:t>a</w:t>
      </w:r>
      <w:r w:rsidRPr="009065F7">
        <w:t>)</w:t>
      </w:r>
      <w:r>
        <w:tab/>
      </w:r>
      <w:r w:rsidRPr="00A17539">
        <w:rPr>
          <w:b/>
        </w:rPr>
        <w:t xml:space="preserve">Conduct </w:t>
      </w:r>
      <w:r>
        <w:rPr>
          <w:b/>
        </w:rPr>
        <w:t>a comprehensive study</w:t>
      </w:r>
      <w:r w:rsidRPr="00A17539">
        <w:rPr>
          <w:b/>
        </w:rPr>
        <w:t xml:space="preserve"> to establish the root causes of suicide and t</w:t>
      </w:r>
      <w:r w:rsidRPr="00A17539">
        <w:rPr>
          <w:b/>
          <w:bCs/>
        </w:rPr>
        <w:t>ake appropriate measures</w:t>
      </w:r>
      <w:r w:rsidR="007771D8">
        <w:rPr>
          <w:b/>
          <w:bCs/>
        </w:rPr>
        <w:t>, including early detection programmes,</w:t>
      </w:r>
      <w:r w:rsidRPr="00A17539">
        <w:rPr>
          <w:b/>
          <w:bCs/>
        </w:rPr>
        <w:t xml:space="preserve"> to address mental hea</w:t>
      </w:r>
      <w:r w:rsidRPr="00492A19">
        <w:rPr>
          <w:b/>
          <w:bCs/>
        </w:rPr>
        <w:t>lth issues that lead suicide among women and girls</w:t>
      </w:r>
      <w:r>
        <w:rPr>
          <w:b/>
          <w:bCs/>
        </w:rPr>
        <w:t xml:space="preserve"> in the State party</w:t>
      </w:r>
      <w:r w:rsidR="00BA6552">
        <w:rPr>
          <w:b/>
        </w:rPr>
        <w:t>;</w:t>
      </w:r>
    </w:p>
    <w:p w14:paraId="0F20285B" w14:textId="608F6BF0" w:rsidR="00F07218" w:rsidRPr="009065F7" w:rsidRDefault="00F07218" w:rsidP="00884453">
      <w:pPr>
        <w:pStyle w:val="SingleTxtG"/>
      </w:pPr>
      <w:r>
        <w:tab/>
        <w:t>(</w:t>
      </w:r>
      <w:r w:rsidR="007A3407">
        <w:t>b</w:t>
      </w:r>
      <w:r>
        <w:t>)</w:t>
      </w:r>
      <w:r>
        <w:tab/>
      </w:r>
      <w:r w:rsidR="00870FD8" w:rsidRPr="007771D8">
        <w:rPr>
          <w:b/>
        </w:rPr>
        <w:t>Put in place early detection programs and mechanisms for early intervention in cases of women and girls with eating disorders</w:t>
      </w:r>
      <w:r w:rsidRPr="007771D8">
        <w:rPr>
          <w:b/>
        </w:rPr>
        <w:t>.</w:t>
      </w:r>
    </w:p>
    <w:p w14:paraId="5FB8DDA2" w14:textId="77777777" w:rsidR="00884453" w:rsidRDefault="00884453" w:rsidP="00884453">
      <w:pPr>
        <w:pStyle w:val="H23G"/>
      </w:pPr>
      <w:r>
        <w:tab/>
      </w:r>
      <w:r>
        <w:tab/>
        <w:t>Economic empowerment of women</w:t>
      </w:r>
    </w:p>
    <w:p w14:paraId="521B80FE" w14:textId="77777777" w:rsidR="00884453" w:rsidRPr="009065F7" w:rsidRDefault="00884453" w:rsidP="00884453">
      <w:pPr>
        <w:pStyle w:val="SingleTxtG"/>
        <w:tabs>
          <w:tab w:val="clear" w:pos="2268"/>
        </w:tabs>
      </w:pPr>
      <w:r w:rsidRPr="009065F7">
        <w:t>3</w:t>
      </w:r>
      <w:r w:rsidR="00BA6552">
        <w:t>5</w:t>
      </w:r>
      <w:r w:rsidRPr="009065F7">
        <w:t>.</w:t>
      </w:r>
      <w:r w:rsidRPr="009065F7">
        <w:tab/>
        <w:t>The Committee</w:t>
      </w:r>
      <w:r>
        <w:t xml:space="preserve"> is concerned that</w:t>
      </w:r>
      <w:r w:rsidRPr="009065F7">
        <w:t xml:space="preserve"> </w:t>
      </w:r>
      <w:r>
        <w:t>austerity measures including</w:t>
      </w:r>
      <w:r w:rsidRPr="00E31002">
        <w:t xml:space="preserve"> cuts to social security benefits </w:t>
      </w:r>
      <w:r>
        <w:t xml:space="preserve">taken </w:t>
      </w:r>
      <w:r w:rsidRPr="00E31002">
        <w:t xml:space="preserve">between 2016 and 2018 disproportionately affected </w:t>
      </w:r>
      <w:r>
        <w:t>women and contributed to feminization of poverty in the State party</w:t>
      </w:r>
      <w:r w:rsidRPr="00E31002">
        <w:t xml:space="preserve">. </w:t>
      </w:r>
    </w:p>
    <w:p w14:paraId="043074C2" w14:textId="77777777" w:rsidR="00FD1771" w:rsidRDefault="00884453" w:rsidP="00884453">
      <w:pPr>
        <w:pStyle w:val="SingleTxtG"/>
        <w:rPr>
          <w:b/>
        </w:rPr>
      </w:pPr>
      <w:r w:rsidRPr="009065F7">
        <w:t>3</w:t>
      </w:r>
      <w:r w:rsidR="00BA6552">
        <w:t>6</w:t>
      </w:r>
      <w:r w:rsidRPr="009065F7">
        <w:t>.</w:t>
      </w:r>
      <w:r w:rsidRPr="009065F7">
        <w:tab/>
      </w:r>
      <w:r w:rsidRPr="009065F7">
        <w:rPr>
          <w:b/>
        </w:rPr>
        <w:t>The Committee recommends that the State party</w:t>
      </w:r>
      <w:r w:rsidR="00FD1771">
        <w:rPr>
          <w:b/>
        </w:rPr>
        <w:t>:</w:t>
      </w:r>
    </w:p>
    <w:p w14:paraId="51FBD9D8" w14:textId="1759E1B8" w:rsidR="00FD1771" w:rsidRPr="00D83344" w:rsidRDefault="00FD1771" w:rsidP="00884453">
      <w:pPr>
        <w:pStyle w:val="SingleTxtG"/>
        <w:rPr>
          <w:b/>
          <w:bCs/>
        </w:rPr>
      </w:pPr>
      <w:r>
        <w:tab/>
        <w:t>(a)</w:t>
      </w:r>
      <w:r w:rsidR="006F4E0C">
        <w:tab/>
      </w:r>
      <w:r w:rsidR="00D83344">
        <w:rPr>
          <w:b/>
          <w:bCs/>
        </w:rPr>
        <w:t>T</w:t>
      </w:r>
      <w:r w:rsidR="000C2601" w:rsidRPr="005F2111">
        <w:rPr>
          <w:b/>
          <w:bCs/>
        </w:rPr>
        <w:t>ake measures to ensure an adequate standard of living and the realisation of economic and social rights</w:t>
      </w:r>
      <w:r w:rsidRPr="00D83344">
        <w:rPr>
          <w:b/>
          <w:bCs/>
        </w:rPr>
        <w:t>;</w:t>
      </w:r>
    </w:p>
    <w:p w14:paraId="45E1031E" w14:textId="77777777" w:rsidR="00884453" w:rsidRPr="003F7D84" w:rsidRDefault="00FD1771" w:rsidP="00884453">
      <w:pPr>
        <w:pStyle w:val="SingleTxtG"/>
        <w:rPr>
          <w:b/>
        </w:rPr>
      </w:pPr>
      <w:r>
        <w:tab/>
        <w:t>(b)</w:t>
      </w:r>
      <w:r>
        <w:tab/>
      </w:r>
      <w:r w:rsidR="000C2601">
        <w:rPr>
          <w:b/>
        </w:rPr>
        <w:t>develop and strengthen</w:t>
      </w:r>
      <w:r w:rsidR="000C2601" w:rsidRPr="00E31002">
        <w:rPr>
          <w:b/>
        </w:rPr>
        <w:t xml:space="preserve"> programmes to support women entrepreneurs, including those belonging to minority ethnic g</w:t>
      </w:r>
      <w:r w:rsidR="000C2601">
        <w:rPr>
          <w:b/>
        </w:rPr>
        <w:t>roups and women with low incomes</w:t>
      </w:r>
      <w:r w:rsidR="00884453" w:rsidRPr="003F7D84">
        <w:rPr>
          <w:b/>
        </w:rPr>
        <w:t>.</w:t>
      </w:r>
    </w:p>
    <w:p w14:paraId="644172F5" w14:textId="77777777" w:rsidR="00884453" w:rsidRPr="00D56B04" w:rsidRDefault="00BA6552" w:rsidP="00BA6552">
      <w:pPr>
        <w:pStyle w:val="H23G"/>
      </w:pPr>
      <w:r>
        <w:tab/>
      </w:r>
      <w:r>
        <w:tab/>
      </w:r>
      <w:r w:rsidR="00884453">
        <w:t>Disadvantaged groups of w</w:t>
      </w:r>
      <w:r w:rsidR="00884453" w:rsidRPr="00D56B04">
        <w:t>omen</w:t>
      </w:r>
    </w:p>
    <w:p w14:paraId="3DE411C5" w14:textId="6E3511EE" w:rsidR="00884453" w:rsidRPr="00985B56" w:rsidRDefault="00884453" w:rsidP="00884453">
      <w:pPr>
        <w:pStyle w:val="SingleTxtG"/>
      </w:pPr>
      <w:r>
        <w:t>3</w:t>
      </w:r>
      <w:r w:rsidR="00BA6552">
        <w:t>7</w:t>
      </w:r>
      <w:r>
        <w:t>.</w:t>
      </w:r>
      <w:r>
        <w:tab/>
        <w:t xml:space="preserve">The Committee notes with appreciation that </w:t>
      </w:r>
      <w:r w:rsidRPr="00396324">
        <w:t xml:space="preserve">separate wings for women </w:t>
      </w:r>
      <w:r>
        <w:t>inmates</w:t>
      </w:r>
      <w:r w:rsidRPr="00396324">
        <w:t xml:space="preserve"> </w:t>
      </w:r>
      <w:r>
        <w:t>will</w:t>
      </w:r>
      <w:r w:rsidRPr="00396324">
        <w:t xml:space="preserve"> be established</w:t>
      </w:r>
      <w:r>
        <w:t xml:space="preserve"> in six prisons</w:t>
      </w:r>
      <w:r w:rsidRPr="00396324">
        <w:t xml:space="preserve"> to ensure their safety and well-being.</w:t>
      </w:r>
      <w:r>
        <w:t xml:space="preserve"> It also notes the State party’s indication that </w:t>
      </w:r>
      <w:r w:rsidRPr="00A169A4">
        <w:t xml:space="preserve">proposed amendments to the </w:t>
      </w:r>
      <w:r>
        <w:t>Law</w:t>
      </w:r>
      <w:r w:rsidRPr="00A169A4">
        <w:t xml:space="preserve"> on the promotion of integration</w:t>
      </w:r>
      <w:r>
        <w:t xml:space="preserve"> to facilitate</w:t>
      </w:r>
      <w:r w:rsidRPr="00A169A4">
        <w:t xml:space="preserve"> the </w:t>
      </w:r>
      <w:r>
        <w:t>integration of migrant women in society and strengthen their access to the labour market</w:t>
      </w:r>
      <w:r w:rsidRPr="00A169A4">
        <w:t xml:space="preserve">. </w:t>
      </w:r>
      <w:r>
        <w:t xml:space="preserve">It further notes that the </w:t>
      </w:r>
      <w:r w:rsidRPr="00396324">
        <w:t xml:space="preserve">third national policy on the Roma </w:t>
      </w:r>
      <w:r>
        <w:t xml:space="preserve">under preparation focuses on the status of </w:t>
      </w:r>
      <w:r w:rsidRPr="00396324">
        <w:t xml:space="preserve">several groups within the Roma community, including </w:t>
      </w:r>
      <w:r>
        <w:t xml:space="preserve">Roma </w:t>
      </w:r>
      <w:r w:rsidRPr="00396324">
        <w:t>women</w:t>
      </w:r>
      <w:r>
        <w:t xml:space="preserve">. The Committee notes with concern, however, the lack of information on specific measures to address the situation of women who face intersecting forms of discrimination, </w:t>
      </w:r>
      <w:r w:rsidRPr="00596A72">
        <w:t>in particular migrant women, Roma women, older women and women with disabilities</w:t>
      </w:r>
      <w:r>
        <w:t>.</w:t>
      </w:r>
    </w:p>
    <w:p w14:paraId="718A9A90" w14:textId="77777777" w:rsidR="00884453" w:rsidRDefault="00884453" w:rsidP="00BA6552">
      <w:pPr>
        <w:pStyle w:val="SingleTxtG"/>
      </w:pPr>
      <w:r w:rsidRPr="00BA6552">
        <w:t>3</w:t>
      </w:r>
      <w:r w:rsidR="00BA6552" w:rsidRPr="00BA6552">
        <w:t>8</w:t>
      </w:r>
      <w:r w:rsidRPr="00BA6552">
        <w:t>.</w:t>
      </w:r>
      <w:r>
        <w:tab/>
      </w:r>
      <w:r w:rsidRPr="00BA6552">
        <w:rPr>
          <w:rStyle w:val="SingleTxtGChar"/>
          <w:b/>
          <w:bCs/>
        </w:rPr>
        <w:t>The Committee recommends that in its next report the State party provide detailed information on targeted measures to ensure equal rights and opportunities for women who face intersecting forms of discrimination, including migrant women, Roma women, older women and women with disabilities.</w:t>
      </w:r>
      <w:r w:rsidRPr="00BA6552">
        <w:rPr>
          <w:rStyle w:val="SingleTxtGChar"/>
        </w:rPr>
        <w:t xml:space="preserve"> </w:t>
      </w:r>
    </w:p>
    <w:p w14:paraId="6D588B02" w14:textId="77777777" w:rsidR="00884453" w:rsidRPr="00393293" w:rsidRDefault="00884453" w:rsidP="00884453">
      <w:pPr>
        <w:pStyle w:val="H23G"/>
      </w:pPr>
      <w:r>
        <w:tab/>
      </w:r>
      <w:r>
        <w:tab/>
      </w:r>
      <w:r w:rsidRPr="00393293">
        <w:t>Marriage and family relations</w:t>
      </w:r>
    </w:p>
    <w:p w14:paraId="78D9BFF0" w14:textId="77777777" w:rsidR="00884453" w:rsidRPr="009065F7" w:rsidRDefault="00BA6552" w:rsidP="00884453">
      <w:pPr>
        <w:pStyle w:val="SingleTxtG"/>
      </w:pPr>
      <w:r>
        <w:t>39</w:t>
      </w:r>
      <w:r w:rsidR="00884453" w:rsidRPr="009065F7">
        <w:t>.</w:t>
      </w:r>
      <w:r w:rsidR="00884453" w:rsidRPr="009065F7">
        <w:tab/>
        <w:t xml:space="preserve">The Committee </w:t>
      </w:r>
      <w:r w:rsidR="00884453">
        <w:t xml:space="preserve">welcomes the information on parental leave reform. It notes with appreciation the State party’s indication </w:t>
      </w:r>
      <w:r w:rsidR="00884453" w:rsidRPr="003549B1">
        <w:t xml:space="preserve">that </w:t>
      </w:r>
      <w:r w:rsidR="00884453">
        <w:t>a parent’s record of</w:t>
      </w:r>
      <w:r w:rsidR="00884453" w:rsidRPr="003549B1">
        <w:t xml:space="preserve"> domestic violence is taken into consideration when deciding on the custody of children upon divorce. </w:t>
      </w:r>
      <w:r w:rsidR="00884453">
        <w:t>The Committee is concerned that the draft law providing for the annulment of forced marriages may result in</w:t>
      </w:r>
      <w:r w:rsidR="00884453" w:rsidRPr="00784334">
        <w:t xml:space="preserve"> child</w:t>
      </w:r>
      <w:r w:rsidR="00884453">
        <w:t>ren born of such marriages</w:t>
      </w:r>
      <w:r w:rsidR="00884453" w:rsidRPr="00784334">
        <w:t xml:space="preserve"> of </w:t>
      </w:r>
      <w:r w:rsidR="00884453">
        <w:t>their inheritance rights.</w:t>
      </w:r>
      <w:r w:rsidR="00646D61">
        <w:t xml:space="preserve"> It is further concerned at the lack of s</w:t>
      </w:r>
      <w:r w:rsidR="00646D61" w:rsidRPr="00646D61">
        <w:t>tatistics on children born in child marriages</w:t>
      </w:r>
      <w:r w:rsidR="00646D61">
        <w:t xml:space="preserve"> and forced marriages</w:t>
      </w:r>
      <w:r w:rsidR="00646D61" w:rsidRPr="00646D61">
        <w:t>.</w:t>
      </w:r>
    </w:p>
    <w:p w14:paraId="54A54FE6" w14:textId="77777777" w:rsidR="00EF03C6" w:rsidRDefault="00884453" w:rsidP="00517FA0">
      <w:pPr>
        <w:pStyle w:val="SingleTxtG"/>
        <w:rPr>
          <w:b/>
        </w:rPr>
      </w:pPr>
      <w:r w:rsidRPr="009065F7">
        <w:t>4</w:t>
      </w:r>
      <w:r w:rsidR="00BA6552">
        <w:t>0</w:t>
      </w:r>
      <w:r w:rsidRPr="009065F7">
        <w:t>.</w:t>
      </w:r>
      <w:r w:rsidRPr="009065F7">
        <w:tab/>
      </w:r>
      <w:r>
        <w:rPr>
          <w:b/>
        </w:rPr>
        <w:t>T</w:t>
      </w:r>
      <w:r w:rsidRPr="009065F7">
        <w:rPr>
          <w:b/>
        </w:rPr>
        <w:t>he Committee recommends that the State party</w:t>
      </w:r>
      <w:r w:rsidR="00FB19BB">
        <w:rPr>
          <w:b/>
        </w:rPr>
        <w:t>:</w:t>
      </w:r>
      <w:r>
        <w:rPr>
          <w:b/>
        </w:rPr>
        <w:t xml:space="preserve"> </w:t>
      </w:r>
    </w:p>
    <w:p w14:paraId="64F7122E" w14:textId="04FDB93F" w:rsidR="00EF03C6" w:rsidRDefault="00EF03C6" w:rsidP="00517FA0">
      <w:pPr>
        <w:pStyle w:val="SingleTxtG"/>
        <w:rPr>
          <w:b/>
        </w:rPr>
      </w:pPr>
      <w:r>
        <w:tab/>
        <w:t>(a)</w:t>
      </w:r>
      <w:r>
        <w:tab/>
        <w:t>A</w:t>
      </w:r>
      <w:r w:rsidR="00884453">
        <w:rPr>
          <w:b/>
        </w:rPr>
        <w:t>llow</w:t>
      </w:r>
      <w:r w:rsidR="00884453" w:rsidRPr="00EA0144">
        <w:rPr>
          <w:b/>
        </w:rPr>
        <w:t xml:space="preserve"> victims of forced marriage to freely choose between divorce, annulment or dissolution of marriage in accordance with their specific situations and their individual needs and rights</w:t>
      </w:r>
      <w:r w:rsidR="00884453">
        <w:rPr>
          <w:b/>
        </w:rPr>
        <w:t xml:space="preserve"> and that of their children, </w:t>
      </w:r>
      <w:r w:rsidR="00082F3C">
        <w:rPr>
          <w:b/>
        </w:rPr>
        <w:t xml:space="preserve">particularly </w:t>
      </w:r>
      <w:r w:rsidR="00884453">
        <w:rPr>
          <w:b/>
        </w:rPr>
        <w:t>with regard to inheritance rights</w:t>
      </w:r>
      <w:r>
        <w:rPr>
          <w:b/>
        </w:rPr>
        <w:t>;</w:t>
      </w:r>
      <w:r w:rsidRPr="00EF03C6">
        <w:rPr>
          <w:b/>
        </w:rPr>
        <w:t xml:space="preserve"> </w:t>
      </w:r>
    </w:p>
    <w:p w14:paraId="75815090" w14:textId="77777777" w:rsidR="00884453" w:rsidRDefault="00EF03C6" w:rsidP="00517FA0">
      <w:pPr>
        <w:pStyle w:val="SingleTxtG"/>
        <w:rPr>
          <w:b/>
        </w:rPr>
      </w:pPr>
      <w:r>
        <w:tab/>
        <w:t>(b)</w:t>
      </w:r>
      <w:r>
        <w:tab/>
      </w:r>
      <w:r w:rsidRPr="00EF03C6">
        <w:rPr>
          <w:b/>
        </w:rPr>
        <w:t xml:space="preserve">Compile </w:t>
      </w:r>
      <w:r w:rsidR="00517FA0" w:rsidRPr="00EF03C6">
        <w:rPr>
          <w:b/>
        </w:rPr>
        <w:t>statistic</w:t>
      </w:r>
      <w:r w:rsidRPr="00EF03C6">
        <w:rPr>
          <w:b/>
        </w:rPr>
        <w:t>al</w:t>
      </w:r>
      <w:r w:rsidR="00517FA0" w:rsidRPr="00EF03C6">
        <w:rPr>
          <w:b/>
        </w:rPr>
        <w:t xml:space="preserve"> </w:t>
      </w:r>
      <w:r w:rsidR="00517FA0" w:rsidRPr="00517FA0">
        <w:rPr>
          <w:b/>
        </w:rPr>
        <w:t>data on children born in child marriages and forced marriages</w:t>
      </w:r>
      <w:r>
        <w:rPr>
          <w:b/>
        </w:rPr>
        <w:t xml:space="preserve"> in order to gain a proper understanding of the situation. </w:t>
      </w:r>
    </w:p>
    <w:p w14:paraId="7CFCAD0E" w14:textId="77777777" w:rsidR="009704F2" w:rsidRPr="009704F2" w:rsidRDefault="006F4E0C" w:rsidP="005F2111">
      <w:pPr>
        <w:pStyle w:val="H23G"/>
      </w:pPr>
      <w:r>
        <w:tab/>
      </w:r>
      <w:r>
        <w:tab/>
      </w:r>
      <w:r w:rsidR="009704F2" w:rsidRPr="009704F2">
        <w:t xml:space="preserve">Beijing Declaration and Platform for Action </w:t>
      </w:r>
    </w:p>
    <w:p w14:paraId="0487DEF6" w14:textId="77777777" w:rsidR="009704F2" w:rsidRPr="009704F2" w:rsidRDefault="009704F2" w:rsidP="009704F2">
      <w:pPr>
        <w:pStyle w:val="SingleTxtG"/>
        <w:rPr>
          <w:b/>
        </w:rPr>
      </w:pPr>
      <w:r w:rsidRPr="005F2111">
        <w:rPr>
          <w:bCs/>
        </w:rPr>
        <w:t>41.</w:t>
      </w:r>
      <w:r w:rsidRPr="009704F2">
        <w:rPr>
          <w:b/>
        </w:rPr>
        <w:tab/>
        <w:t xml:space="preserve">The Committee calls upon the State party to </w:t>
      </w:r>
      <w:r w:rsidR="00082F3C">
        <w:rPr>
          <w:b/>
        </w:rPr>
        <w:t>use</w:t>
      </w:r>
      <w:r w:rsidRPr="009704F2">
        <w:rPr>
          <w:b/>
        </w:rPr>
        <w:t xml:space="preserve"> the Beijing Declaration and Platform for Action </w:t>
      </w:r>
      <w:r w:rsidR="00082F3C">
        <w:rPr>
          <w:b/>
        </w:rPr>
        <w:t>and to further evaluate the realization of the rights enshrined in the Convention in ord</w:t>
      </w:r>
      <w:r w:rsidR="00D519E2">
        <w:rPr>
          <w:b/>
        </w:rPr>
        <w:t>e</w:t>
      </w:r>
      <w:r w:rsidR="00082F3C">
        <w:rPr>
          <w:b/>
        </w:rPr>
        <w:t>r to achieve substantive equality between women and men</w:t>
      </w:r>
      <w:r w:rsidRPr="009704F2">
        <w:rPr>
          <w:b/>
        </w:rPr>
        <w:t>.</w:t>
      </w:r>
    </w:p>
    <w:p w14:paraId="56B4930E" w14:textId="77777777" w:rsidR="009704F2" w:rsidRPr="009704F2" w:rsidRDefault="00EF4995" w:rsidP="005F2111">
      <w:pPr>
        <w:pStyle w:val="H23G"/>
      </w:pPr>
      <w:r>
        <w:lastRenderedPageBreak/>
        <w:tab/>
      </w:r>
      <w:r>
        <w:tab/>
      </w:r>
      <w:r w:rsidR="009704F2" w:rsidRPr="009704F2">
        <w:t xml:space="preserve">2030 Agenda for Sustainable Development </w:t>
      </w:r>
    </w:p>
    <w:p w14:paraId="3940261D" w14:textId="2BFC797D" w:rsidR="00EF4995" w:rsidRPr="005F2111" w:rsidRDefault="009704F2" w:rsidP="005F2111">
      <w:pPr>
        <w:pStyle w:val="SingleTxtG"/>
        <w:rPr>
          <w:b/>
          <w:bCs/>
        </w:rPr>
      </w:pPr>
      <w:r w:rsidRPr="009704F2">
        <w:t>4</w:t>
      </w:r>
      <w:r>
        <w:t>2</w:t>
      </w:r>
      <w:r w:rsidRPr="009704F2">
        <w:t>.</w:t>
      </w:r>
      <w:r w:rsidRPr="009704F2">
        <w:tab/>
      </w:r>
      <w:r w:rsidRPr="005F2111">
        <w:rPr>
          <w:b/>
          <w:bCs/>
        </w:rPr>
        <w:t>The Committee calls for the realization of substantive gender equality, in accordance with the provisions of the Convention, throughout the process of implementation of the 2030 Agenda for Sustainable Development.</w:t>
      </w:r>
    </w:p>
    <w:p w14:paraId="6D030504" w14:textId="77777777" w:rsidR="00D6421F" w:rsidRPr="00393293" w:rsidRDefault="00EF4995" w:rsidP="00D6421F">
      <w:pPr>
        <w:pStyle w:val="H23G"/>
      </w:pPr>
      <w:r>
        <w:rPr>
          <w:b w:val="0"/>
          <w:bCs/>
        </w:rPr>
        <w:tab/>
      </w:r>
      <w:r>
        <w:rPr>
          <w:b w:val="0"/>
          <w:bCs/>
        </w:rPr>
        <w:tab/>
      </w:r>
      <w:r w:rsidR="00D6421F" w:rsidRPr="00393293">
        <w:t xml:space="preserve">Dissemination </w:t>
      </w:r>
    </w:p>
    <w:p w14:paraId="27E46C88" w14:textId="0FCD86F5" w:rsidR="00D6421F" w:rsidRPr="009065F7" w:rsidRDefault="00D6421F" w:rsidP="00D6421F">
      <w:pPr>
        <w:pStyle w:val="SingleTxtG"/>
      </w:pPr>
      <w:r w:rsidRPr="009065F7">
        <w:t>4</w:t>
      </w:r>
      <w:r w:rsidR="009704F2">
        <w:t>3</w:t>
      </w:r>
      <w:r w:rsidRPr="009065F7">
        <w:t>.</w:t>
      </w:r>
      <w:r w:rsidRPr="009065F7">
        <w:tab/>
      </w:r>
      <w:r w:rsidRPr="00153527">
        <w:rPr>
          <w:b/>
        </w:rPr>
        <w:t>The Committee requests the State party to ensure the timely dissemination of the present concluding observations, in the de facto official languages of the State party, to the relevant State institutions at all levels (national, regional and local), in particular to the Government, the ministries, the parliament and the judiciary, to enable their full implementation</w:t>
      </w:r>
      <w:r w:rsidRPr="009065F7">
        <w:rPr>
          <w:b/>
        </w:rPr>
        <w:t>.</w:t>
      </w:r>
    </w:p>
    <w:p w14:paraId="01245D79" w14:textId="77777777" w:rsidR="00D6421F" w:rsidRPr="00393293" w:rsidRDefault="00D6421F" w:rsidP="00D6421F">
      <w:pPr>
        <w:pStyle w:val="H23G"/>
      </w:pPr>
      <w:r>
        <w:rPr>
          <w:lang w:val="en-US"/>
        </w:rPr>
        <w:tab/>
      </w:r>
      <w:r>
        <w:rPr>
          <w:lang w:val="en-US"/>
        </w:rPr>
        <w:tab/>
      </w:r>
      <w:r w:rsidRPr="00393293">
        <w:rPr>
          <w:lang w:val="en-US"/>
        </w:rPr>
        <w:t>Ratification</w:t>
      </w:r>
      <w:r w:rsidRPr="00393293">
        <w:t xml:space="preserve"> of other treaties</w:t>
      </w:r>
    </w:p>
    <w:p w14:paraId="6B22AA0B" w14:textId="5ABF109C" w:rsidR="00D6421F" w:rsidRPr="009065F7" w:rsidRDefault="00D6421F" w:rsidP="00D6421F">
      <w:pPr>
        <w:pStyle w:val="SingleTxtG"/>
      </w:pPr>
      <w:r w:rsidRPr="009065F7">
        <w:t>4</w:t>
      </w:r>
      <w:r w:rsidR="009704F2">
        <w:t>4</w:t>
      </w:r>
      <w:r w:rsidRPr="009065F7">
        <w:t>.</w:t>
      </w:r>
      <w:r w:rsidRPr="009065F7">
        <w:tab/>
      </w:r>
      <w:r w:rsidRPr="009065F7">
        <w:rPr>
          <w:b/>
        </w:rPr>
        <w:t>The Committee notes that the adherence of the State party to the nine major international human rights instruments</w:t>
      </w:r>
      <w:r w:rsidRPr="001E4C62">
        <w:rPr>
          <w:b/>
          <w:vertAlign w:val="superscript"/>
        </w:rPr>
        <w:footnoteReference w:id="3"/>
      </w:r>
      <w:r w:rsidRPr="001E4C62">
        <w:rPr>
          <w:b/>
          <w:vertAlign w:val="superscript"/>
        </w:rPr>
        <w:t xml:space="preserve"> </w:t>
      </w:r>
      <w:r w:rsidRPr="009065F7">
        <w:rPr>
          <w:b/>
        </w:rPr>
        <w:t>would enhance the enjoyment by women of their human rights and fundamental freedoms in all aspects of life. The Committee therefore encourages the State party to ratify the International Convention on the Protection of the Rights of All Migrant Workers and Members of Their Families</w:t>
      </w:r>
      <w:r>
        <w:rPr>
          <w:b/>
        </w:rPr>
        <w:t xml:space="preserve"> and the</w:t>
      </w:r>
      <w:r w:rsidRPr="001E4C62">
        <w:t xml:space="preserve"> </w:t>
      </w:r>
      <w:r w:rsidRPr="001E4C62">
        <w:rPr>
          <w:b/>
        </w:rPr>
        <w:t>Convention for the Protection of All Persons from Enforced Disappearance</w:t>
      </w:r>
      <w:r w:rsidRPr="009065F7">
        <w:rPr>
          <w:b/>
        </w:rPr>
        <w:t>, to which it is not yet a party.</w:t>
      </w:r>
      <w:r w:rsidRPr="009065F7">
        <w:t xml:space="preserve"> </w:t>
      </w:r>
    </w:p>
    <w:p w14:paraId="2BE265F4" w14:textId="77777777" w:rsidR="00D6421F" w:rsidRPr="00393293" w:rsidRDefault="00D6421F" w:rsidP="00D6421F">
      <w:pPr>
        <w:pStyle w:val="H23G"/>
        <w:rPr>
          <w:lang w:val="en-US"/>
        </w:rPr>
      </w:pPr>
      <w:r>
        <w:rPr>
          <w:lang w:val="en-US"/>
        </w:rPr>
        <w:tab/>
      </w:r>
      <w:r>
        <w:rPr>
          <w:lang w:val="en-US"/>
        </w:rPr>
        <w:tab/>
      </w:r>
      <w:r w:rsidRPr="00393293">
        <w:rPr>
          <w:lang w:val="en-US"/>
        </w:rPr>
        <w:t>Follow-up to concluding observations</w:t>
      </w:r>
    </w:p>
    <w:p w14:paraId="276E0DB2" w14:textId="3618725F" w:rsidR="00D6421F" w:rsidRPr="009065F7" w:rsidRDefault="00D6421F" w:rsidP="00D6421F">
      <w:pPr>
        <w:pStyle w:val="SingleTxtG"/>
      </w:pPr>
      <w:r w:rsidRPr="009065F7">
        <w:t>4</w:t>
      </w:r>
      <w:r w:rsidR="009704F2">
        <w:t>5</w:t>
      </w:r>
      <w:r w:rsidRPr="009065F7">
        <w:t>.</w:t>
      </w:r>
      <w:r w:rsidRPr="009065F7">
        <w:tab/>
      </w:r>
      <w:r w:rsidRPr="009065F7">
        <w:rPr>
          <w:b/>
        </w:rPr>
        <w:t xml:space="preserve">The Committee requests the State party to provide, within two years, written information on the steps taken to implement the recommendations contained in paragraphs </w:t>
      </w:r>
      <w:r w:rsidR="00CC0B62">
        <w:rPr>
          <w:b/>
        </w:rPr>
        <w:t>20</w:t>
      </w:r>
      <w:r w:rsidRPr="009065F7">
        <w:rPr>
          <w:b/>
        </w:rPr>
        <w:t xml:space="preserve">, </w:t>
      </w:r>
      <w:r w:rsidR="00CC0B62">
        <w:rPr>
          <w:b/>
        </w:rPr>
        <w:t>22(c), 24</w:t>
      </w:r>
      <w:r>
        <w:rPr>
          <w:b/>
        </w:rPr>
        <w:t>(b)</w:t>
      </w:r>
      <w:r w:rsidRPr="009065F7">
        <w:rPr>
          <w:b/>
        </w:rPr>
        <w:t xml:space="preserve">, </w:t>
      </w:r>
      <w:r w:rsidR="00CC0B62">
        <w:rPr>
          <w:b/>
        </w:rPr>
        <w:t>and 28</w:t>
      </w:r>
      <w:r>
        <w:rPr>
          <w:b/>
        </w:rPr>
        <w:t>(a) and (</w:t>
      </w:r>
      <w:r w:rsidR="00CC0B62">
        <w:rPr>
          <w:b/>
        </w:rPr>
        <w:t>d</w:t>
      </w:r>
      <w:r>
        <w:rPr>
          <w:b/>
        </w:rPr>
        <w:t>))</w:t>
      </w:r>
      <w:r w:rsidRPr="009065F7">
        <w:rPr>
          <w:b/>
        </w:rPr>
        <w:t xml:space="preserve"> above.</w:t>
      </w:r>
    </w:p>
    <w:p w14:paraId="44102727" w14:textId="77777777" w:rsidR="00D6421F" w:rsidRPr="00393293" w:rsidRDefault="00D6421F" w:rsidP="00D6421F">
      <w:pPr>
        <w:pStyle w:val="H23G"/>
        <w:rPr>
          <w:lang w:val="en-US"/>
        </w:rPr>
      </w:pPr>
      <w:r>
        <w:rPr>
          <w:lang w:val="en-US"/>
        </w:rPr>
        <w:tab/>
      </w:r>
      <w:r>
        <w:rPr>
          <w:lang w:val="en-US"/>
        </w:rPr>
        <w:tab/>
      </w:r>
      <w:r w:rsidRPr="00393293">
        <w:rPr>
          <w:lang w:val="en-US"/>
        </w:rPr>
        <w:t xml:space="preserve">Preparation of the next report </w:t>
      </w:r>
    </w:p>
    <w:p w14:paraId="3ABAD391" w14:textId="4131B420" w:rsidR="00D6421F" w:rsidRPr="009065F7" w:rsidRDefault="00D6421F" w:rsidP="00D6421F">
      <w:pPr>
        <w:pStyle w:val="SingleTxtG"/>
      </w:pPr>
      <w:r w:rsidRPr="009065F7">
        <w:t>4</w:t>
      </w:r>
      <w:r w:rsidR="009704F2">
        <w:t>6</w:t>
      </w:r>
      <w:r w:rsidRPr="009065F7">
        <w:t>.</w:t>
      </w:r>
      <w:r w:rsidRPr="009065F7">
        <w:tab/>
      </w:r>
      <w:r w:rsidR="00D519E2" w:rsidRPr="00D519E2">
        <w:rPr>
          <w:b/>
        </w:rPr>
        <w:t xml:space="preserve">The Committee will establish and communicate the due date of the </w:t>
      </w:r>
      <w:r w:rsidR="00D519E2">
        <w:rPr>
          <w:b/>
        </w:rPr>
        <w:t>tenth</w:t>
      </w:r>
      <w:r w:rsidR="00D519E2" w:rsidRPr="00D519E2">
        <w:rPr>
          <w:b/>
        </w:rPr>
        <w:t xml:space="preserve"> periodic report of the State party in line with a future predictable eight-year review calendar and following the adoption of a list of issues prior to reporting, if applicable, for the State party. The next periodic report should be submitted on time and cover the entire period up to the time of its submission.</w:t>
      </w:r>
      <w:r w:rsidRPr="009065F7">
        <w:rPr>
          <w:b/>
        </w:rPr>
        <w:t>.</w:t>
      </w:r>
    </w:p>
    <w:p w14:paraId="2C5337B2" w14:textId="2AD7FD54" w:rsidR="00D6421F" w:rsidRDefault="00D6421F" w:rsidP="00D6421F">
      <w:pPr>
        <w:pStyle w:val="SingleTxtG"/>
        <w:tabs>
          <w:tab w:val="clear" w:pos="2268"/>
        </w:tabs>
        <w:rPr>
          <w:b/>
        </w:rPr>
      </w:pPr>
      <w:r w:rsidRPr="00E254F8">
        <w:t>4</w:t>
      </w:r>
      <w:r w:rsidR="009704F2">
        <w:t>7</w:t>
      </w:r>
      <w:r w:rsidRPr="00E254F8">
        <w:t>.</w:t>
      </w:r>
      <w:r w:rsidRPr="00E254F8">
        <w:tab/>
      </w:r>
      <w:r w:rsidRPr="00393293">
        <w:rPr>
          <w:b/>
        </w:rPr>
        <w:t xml:space="preserve">The Committee requests the State party to follow the harmonized guidelines on reporting under the international human rights treaties, including guidelines on a common core document and treaty-specific documents (see </w:t>
      </w:r>
      <w:hyperlink r:id="rId10" w:history="1">
        <w:r w:rsidRPr="00393293">
          <w:rPr>
            <w:rStyle w:val="Hyperlink"/>
            <w:b/>
          </w:rPr>
          <w:t>HRI/GEN/2/Rev.6</w:t>
        </w:r>
      </w:hyperlink>
      <w:r>
        <w:rPr>
          <w:b/>
        </w:rPr>
        <w:t>, chap. I)</w:t>
      </w:r>
      <w:r w:rsidRPr="00393293">
        <w:rPr>
          <w:b/>
        </w:rPr>
        <w:t>.</w:t>
      </w:r>
    </w:p>
    <w:p w14:paraId="1993A318" w14:textId="77777777" w:rsidR="00BA6552" w:rsidRPr="00BA6552" w:rsidRDefault="00CE6604" w:rsidP="005F2111">
      <w:pPr>
        <w:pStyle w:val="SingleTxtG"/>
        <w:jc w:val="center"/>
        <w:rPr>
          <w:u w:val="single"/>
        </w:rPr>
      </w:pPr>
      <w:r>
        <w:rPr>
          <w:u w:val="single"/>
        </w:rPr>
        <w:tab/>
      </w:r>
      <w:r>
        <w:rPr>
          <w:u w:val="single"/>
        </w:rPr>
        <w:tab/>
      </w:r>
      <w:r>
        <w:rPr>
          <w:u w:val="single"/>
        </w:rPr>
        <w:tab/>
      </w:r>
    </w:p>
    <w:sectPr w:rsidR="00BA6552" w:rsidRPr="00BA6552">
      <w:headerReference w:type="even" r:id="rId11"/>
      <w:headerReference w:type="default" r:id="rId12"/>
      <w:footerReference w:type="even" r:id="rId13"/>
      <w:footerReference w:type="default" r:id="rId14"/>
      <w:footerReference w:type="first" r:id="rId15"/>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9063F" w14:textId="77777777" w:rsidR="00E2695E" w:rsidRDefault="00E2695E">
      <w:pPr>
        <w:spacing w:line="240" w:lineRule="auto"/>
      </w:pPr>
    </w:p>
  </w:endnote>
  <w:endnote w:type="continuationSeparator" w:id="0">
    <w:p w14:paraId="4C0DE6D7" w14:textId="77777777" w:rsidR="00E2695E" w:rsidRDefault="00E2695E">
      <w:pPr>
        <w:pStyle w:val="Footer"/>
      </w:pPr>
    </w:p>
  </w:endnote>
  <w:endnote w:type="continuationNotice" w:id="1">
    <w:p w14:paraId="412F3D2B" w14:textId="77777777" w:rsidR="00E2695E" w:rsidRDefault="00E269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2E07" w14:textId="77777777" w:rsidR="008C69AC" w:rsidRDefault="0049549B">
    <w:pPr>
      <w:pStyle w:val="Footer"/>
      <w:tabs>
        <w:tab w:val="right" w:pos="9639"/>
      </w:tabs>
    </w:pPr>
    <w:r>
      <w:rPr>
        <w:b/>
        <w:sz w:val="18"/>
      </w:rPr>
      <w:fldChar w:fldCharType="begin"/>
    </w:r>
    <w:r>
      <w:rPr>
        <w:b/>
        <w:sz w:val="18"/>
      </w:rPr>
      <w:instrText xml:space="preserve"> PAGE  \* MERGEFORMAT </w:instrText>
    </w:r>
    <w:r>
      <w:rPr>
        <w:b/>
        <w:sz w:val="18"/>
      </w:rPr>
      <w:fldChar w:fldCharType="separate"/>
    </w:r>
    <w:r w:rsidR="00E24BDF">
      <w:rPr>
        <w:b/>
        <w:noProof/>
        <w:sz w:val="18"/>
      </w:rPr>
      <w:t>12</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DC84" w14:textId="77777777" w:rsidR="008C69AC" w:rsidRDefault="002525FA">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E24BDF">
      <w:rPr>
        <w:b/>
        <w:noProof/>
        <w:sz w:val="18"/>
      </w:rPr>
      <w:t>7</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F5F5" w14:textId="77777777" w:rsidR="008C69AC" w:rsidRDefault="00BA7D4A" w:rsidP="00BA7D4A">
    <w:pPr>
      <w:pStyle w:val="Footer"/>
      <w:spacing w:before="120"/>
    </w:pPr>
    <w:r w:rsidRPr="0027112F">
      <w:rPr>
        <w:noProof/>
        <w:lang w:eastAsia="en-GB"/>
      </w:rPr>
      <w:drawing>
        <wp:anchor distT="0" distB="0" distL="114300" distR="114300" simplePos="0" relativeHeight="251660288" behindDoc="0" locked="1" layoutInCell="1" allowOverlap="1" wp14:anchorId="489037A8" wp14:editId="5FB40F35">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r w:rsidR="0049549B">
      <w:rPr>
        <w:noProof/>
        <w:lang w:eastAsia="en-GB"/>
      </w:rPr>
      <w:drawing>
        <wp:anchor distT="0" distB="0" distL="114300" distR="114300" simplePos="0" relativeHeight="251658240" behindDoc="0" locked="1" layoutInCell="1" allowOverlap="1" wp14:anchorId="19B842AB" wp14:editId="4CE24880">
          <wp:simplePos x="0" y="0"/>
          <wp:positionH relativeFrom="column">
            <wp:posOffset>5868670</wp:posOffset>
          </wp:positionH>
          <wp:positionV relativeFrom="paragraph">
            <wp:posOffset>9387840</wp:posOffset>
          </wp:positionV>
          <wp:extent cx="930275" cy="230505"/>
          <wp:effectExtent l="0" t="0" r="3175" b="0"/>
          <wp:wrapNone/>
          <wp:docPr id="7" name="Imag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recycle_English"/>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3F92E4" w14:textId="671AA012" w:rsidR="00BA7D4A" w:rsidRPr="00BA7D4A" w:rsidRDefault="00BA7D4A" w:rsidP="00BA7D4A">
    <w:pPr>
      <w:pStyle w:val="Footer"/>
      <w:ind w:right="1134"/>
      <w:rPr>
        <w:sz w:val="20"/>
      </w:rPr>
    </w:pPr>
    <w:r>
      <w:rPr>
        <w:noProof/>
        <w:sz w:val="20"/>
        <w:lang w:eastAsia="en-GB"/>
      </w:rPr>
      <w:drawing>
        <wp:anchor distT="0" distB="0" distL="114300" distR="114300" simplePos="0" relativeHeight="251661312" behindDoc="0" locked="0" layoutInCell="1" allowOverlap="1" wp14:anchorId="2004410D" wp14:editId="5E404E70">
          <wp:simplePos x="0" y="0"/>
          <wp:positionH relativeFrom="margin">
            <wp:posOffset>5615940</wp:posOffset>
          </wp:positionH>
          <wp:positionV relativeFrom="margin">
            <wp:posOffset>8905875</wp:posOffset>
          </wp:positionV>
          <wp:extent cx="561975" cy="5619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62700">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7A9FC" w14:textId="77777777" w:rsidR="00E2695E" w:rsidRDefault="00E2695E">
      <w:pPr>
        <w:pStyle w:val="Footer"/>
        <w:tabs>
          <w:tab w:val="right" w:pos="2155"/>
        </w:tabs>
        <w:spacing w:after="80" w:line="240" w:lineRule="atLeast"/>
        <w:ind w:left="680"/>
        <w:rPr>
          <w:u w:val="single"/>
        </w:rPr>
      </w:pPr>
      <w:r>
        <w:rPr>
          <w:u w:val="single"/>
        </w:rPr>
        <w:tab/>
      </w:r>
    </w:p>
  </w:footnote>
  <w:footnote w:type="continuationSeparator" w:id="0">
    <w:p w14:paraId="1E025828" w14:textId="77777777" w:rsidR="00E2695E" w:rsidRDefault="00E2695E">
      <w:pPr>
        <w:pStyle w:val="Footer"/>
        <w:tabs>
          <w:tab w:val="right" w:pos="2155"/>
        </w:tabs>
        <w:spacing w:after="80" w:line="240" w:lineRule="atLeast"/>
        <w:ind w:left="680"/>
        <w:rPr>
          <w:u w:val="single"/>
        </w:rPr>
      </w:pPr>
      <w:r>
        <w:rPr>
          <w:u w:val="single"/>
        </w:rPr>
        <w:tab/>
      </w:r>
    </w:p>
  </w:footnote>
  <w:footnote w:type="continuationNotice" w:id="1">
    <w:p w14:paraId="2EFB07E2" w14:textId="77777777" w:rsidR="00E2695E" w:rsidRDefault="00E2695E">
      <w:pPr>
        <w:spacing w:line="240" w:lineRule="auto"/>
        <w:rPr>
          <w:sz w:val="2"/>
          <w:szCs w:val="2"/>
        </w:rPr>
      </w:pPr>
    </w:p>
  </w:footnote>
  <w:footnote w:id="2">
    <w:p w14:paraId="640DF9CC" w14:textId="77777777" w:rsidR="00132D96" w:rsidRPr="00132D96" w:rsidRDefault="00132D96" w:rsidP="00132D96">
      <w:pPr>
        <w:pStyle w:val="FootnoteText"/>
      </w:pPr>
      <w:r w:rsidRPr="005F2111">
        <w:rPr>
          <w:rStyle w:val="FootnoteReference"/>
          <w:vertAlign w:val="baseline"/>
        </w:rPr>
        <w:tab/>
        <w:t>*</w:t>
      </w:r>
      <w:r w:rsidRPr="005F2111">
        <w:rPr>
          <w:rStyle w:val="FootnoteReference"/>
          <w:vertAlign w:val="baseline"/>
        </w:rPr>
        <w:tab/>
        <w:t>Adopted by the Committee at its eighty-third session (10-28 October 2022).</w:t>
      </w:r>
    </w:p>
  </w:footnote>
  <w:footnote w:id="3">
    <w:p w14:paraId="17F2E1B0" w14:textId="77777777" w:rsidR="00D6421F" w:rsidRPr="001A7A4C" w:rsidRDefault="00D6421F" w:rsidP="00D6421F">
      <w:pPr>
        <w:pStyle w:val="FootnoteText"/>
        <w:rPr>
          <w:lang w:val="en-US"/>
        </w:rPr>
      </w:pPr>
      <w:r w:rsidRPr="00100BA8">
        <w:tab/>
      </w:r>
      <w:r w:rsidRPr="00CD564B">
        <w:rPr>
          <w:rStyle w:val="FootnoteReference"/>
        </w:rPr>
        <w:footnoteRef/>
      </w:r>
      <w:r>
        <w:tab/>
      </w:r>
      <w:r w:rsidRPr="001A7A4C">
        <w:t>The International Covenant on Economic, Social and Cultural Rights; the International Covenant on Civil and Political Rights; the International Convention on the Elimination of All Forms of Racial Discrimination; the Convention on the Elimination of All Forms of Discrimination against Women; the Convention against Torture and Other Cruel, Inhuman or Degrading Treatment or Punishment; the Convention on the Rights of the Child; the International Convention on the Protection of the Rights of All Migrant Workers and Members of Their Families; the International Convention for the Protection of All Persons from Enforced Disappearance; and the Convention on the Rights of Persons with Disabilities.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D650" w14:textId="12AAD406" w:rsidR="008C69AC" w:rsidRDefault="002525FA">
    <w:pPr>
      <w:pStyle w:val="Header"/>
    </w:pPr>
    <w:r>
      <w:t>CEDAW/C/FIN/CO/8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2835" w14:textId="3E94A214" w:rsidR="008C69AC" w:rsidRDefault="002525FA">
    <w:pPr>
      <w:pStyle w:val="Header"/>
      <w:jc w:val="right"/>
    </w:pPr>
    <w:r>
      <w:t>CEDAW/C/FIN/CO/8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262C7"/>
    <w:multiLevelType w:val="hybridMultilevel"/>
    <w:tmpl w:val="E7846F30"/>
    <w:lvl w:ilvl="0" w:tplc="32F2D474">
      <w:start w:val="1"/>
      <w:numFmt w:val="lowerLetter"/>
      <w:lvlText w:val="(%1)"/>
      <w:lvlJc w:val="left"/>
      <w:pPr>
        <w:ind w:left="2064" w:hanging="360"/>
      </w:pPr>
      <w:rPr>
        <w:rFonts w:hint="default"/>
      </w:rPr>
    </w:lvl>
    <w:lvl w:ilvl="1" w:tplc="08090019" w:tentative="1">
      <w:start w:val="1"/>
      <w:numFmt w:val="lowerLetter"/>
      <w:lvlText w:val="%2."/>
      <w:lvlJc w:val="left"/>
      <w:pPr>
        <w:ind w:left="2784" w:hanging="360"/>
      </w:pPr>
    </w:lvl>
    <w:lvl w:ilvl="2" w:tplc="0809001B" w:tentative="1">
      <w:start w:val="1"/>
      <w:numFmt w:val="lowerRoman"/>
      <w:lvlText w:val="%3."/>
      <w:lvlJc w:val="right"/>
      <w:pPr>
        <w:ind w:left="3504" w:hanging="180"/>
      </w:pPr>
    </w:lvl>
    <w:lvl w:ilvl="3" w:tplc="0809000F" w:tentative="1">
      <w:start w:val="1"/>
      <w:numFmt w:val="decimal"/>
      <w:lvlText w:val="%4."/>
      <w:lvlJc w:val="left"/>
      <w:pPr>
        <w:ind w:left="4224" w:hanging="360"/>
      </w:pPr>
    </w:lvl>
    <w:lvl w:ilvl="4" w:tplc="08090019" w:tentative="1">
      <w:start w:val="1"/>
      <w:numFmt w:val="lowerLetter"/>
      <w:lvlText w:val="%5."/>
      <w:lvlJc w:val="left"/>
      <w:pPr>
        <w:ind w:left="4944" w:hanging="360"/>
      </w:pPr>
    </w:lvl>
    <w:lvl w:ilvl="5" w:tplc="0809001B" w:tentative="1">
      <w:start w:val="1"/>
      <w:numFmt w:val="lowerRoman"/>
      <w:lvlText w:val="%6."/>
      <w:lvlJc w:val="right"/>
      <w:pPr>
        <w:ind w:left="5664" w:hanging="180"/>
      </w:pPr>
    </w:lvl>
    <w:lvl w:ilvl="6" w:tplc="0809000F" w:tentative="1">
      <w:start w:val="1"/>
      <w:numFmt w:val="decimal"/>
      <w:lvlText w:val="%7."/>
      <w:lvlJc w:val="left"/>
      <w:pPr>
        <w:ind w:left="6384" w:hanging="360"/>
      </w:pPr>
    </w:lvl>
    <w:lvl w:ilvl="7" w:tplc="08090019" w:tentative="1">
      <w:start w:val="1"/>
      <w:numFmt w:val="lowerLetter"/>
      <w:lvlText w:val="%8."/>
      <w:lvlJc w:val="left"/>
      <w:pPr>
        <w:ind w:left="7104" w:hanging="360"/>
      </w:pPr>
    </w:lvl>
    <w:lvl w:ilvl="8" w:tplc="0809001B" w:tentative="1">
      <w:start w:val="1"/>
      <w:numFmt w:val="lowerRoman"/>
      <w:lvlText w:val="%9."/>
      <w:lvlJc w:val="right"/>
      <w:pPr>
        <w:ind w:left="7824" w:hanging="180"/>
      </w:pPr>
    </w:lvl>
  </w:abstractNum>
  <w:abstractNum w:abstractNumId="11" w15:restartNumberingAfterBreak="0">
    <w:nsid w:val="0D954887"/>
    <w:multiLevelType w:val="hybridMultilevel"/>
    <w:tmpl w:val="2B362816"/>
    <w:lvl w:ilvl="0" w:tplc="FD3EE152">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B75CB4B6" w:tentative="1">
      <w:start w:val="1"/>
      <w:numFmt w:val="lowerLetter"/>
      <w:lvlText w:val="%2."/>
      <w:lvlJc w:val="left"/>
      <w:pPr>
        <w:tabs>
          <w:tab w:val="num" w:pos="1440"/>
        </w:tabs>
        <w:ind w:left="1440" w:hanging="360"/>
      </w:pPr>
    </w:lvl>
    <w:lvl w:ilvl="2" w:tplc="5B149B82" w:tentative="1">
      <w:start w:val="1"/>
      <w:numFmt w:val="lowerRoman"/>
      <w:lvlText w:val="%3."/>
      <w:lvlJc w:val="right"/>
      <w:pPr>
        <w:tabs>
          <w:tab w:val="num" w:pos="2160"/>
        </w:tabs>
        <w:ind w:left="2160" w:hanging="180"/>
      </w:pPr>
    </w:lvl>
    <w:lvl w:ilvl="3" w:tplc="3BCC7288" w:tentative="1">
      <w:start w:val="1"/>
      <w:numFmt w:val="decimal"/>
      <w:lvlText w:val="%4."/>
      <w:lvlJc w:val="left"/>
      <w:pPr>
        <w:tabs>
          <w:tab w:val="num" w:pos="2880"/>
        </w:tabs>
        <w:ind w:left="2880" w:hanging="360"/>
      </w:pPr>
    </w:lvl>
    <w:lvl w:ilvl="4" w:tplc="44CA5ECE" w:tentative="1">
      <w:start w:val="1"/>
      <w:numFmt w:val="lowerLetter"/>
      <w:lvlText w:val="%5."/>
      <w:lvlJc w:val="left"/>
      <w:pPr>
        <w:tabs>
          <w:tab w:val="num" w:pos="3600"/>
        </w:tabs>
        <w:ind w:left="3600" w:hanging="360"/>
      </w:pPr>
    </w:lvl>
    <w:lvl w:ilvl="5" w:tplc="801A0B0A" w:tentative="1">
      <w:start w:val="1"/>
      <w:numFmt w:val="lowerRoman"/>
      <w:lvlText w:val="%6."/>
      <w:lvlJc w:val="right"/>
      <w:pPr>
        <w:tabs>
          <w:tab w:val="num" w:pos="4320"/>
        </w:tabs>
        <w:ind w:left="4320" w:hanging="180"/>
      </w:pPr>
    </w:lvl>
    <w:lvl w:ilvl="6" w:tplc="C764CB36" w:tentative="1">
      <w:start w:val="1"/>
      <w:numFmt w:val="decimal"/>
      <w:lvlText w:val="%7."/>
      <w:lvlJc w:val="left"/>
      <w:pPr>
        <w:tabs>
          <w:tab w:val="num" w:pos="5040"/>
        </w:tabs>
        <w:ind w:left="5040" w:hanging="360"/>
      </w:pPr>
    </w:lvl>
    <w:lvl w:ilvl="7" w:tplc="71506D78" w:tentative="1">
      <w:start w:val="1"/>
      <w:numFmt w:val="lowerLetter"/>
      <w:lvlText w:val="%8."/>
      <w:lvlJc w:val="left"/>
      <w:pPr>
        <w:tabs>
          <w:tab w:val="num" w:pos="5760"/>
        </w:tabs>
        <w:ind w:left="5760" w:hanging="360"/>
      </w:pPr>
    </w:lvl>
    <w:lvl w:ilvl="8" w:tplc="F51CE4EC" w:tentative="1">
      <w:start w:val="1"/>
      <w:numFmt w:val="lowerRoman"/>
      <w:lvlText w:val="%9."/>
      <w:lvlJc w:val="right"/>
      <w:pPr>
        <w:tabs>
          <w:tab w:val="num" w:pos="6480"/>
        </w:tabs>
        <w:ind w:left="6480" w:hanging="180"/>
      </w:pPr>
    </w:lvl>
  </w:abstractNum>
  <w:abstractNum w:abstractNumId="12" w15:restartNumberingAfterBreak="0">
    <w:nsid w:val="36354260"/>
    <w:multiLevelType w:val="hybridMultilevel"/>
    <w:tmpl w:val="D23CE380"/>
    <w:lvl w:ilvl="0" w:tplc="92CE7E90">
      <w:start w:val="1"/>
      <w:numFmt w:val="lowerLetter"/>
      <w:lvlText w:val="(%1)"/>
      <w:lvlJc w:val="left"/>
      <w:pPr>
        <w:ind w:left="2064" w:hanging="360"/>
      </w:pPr>
      <w:rPr>
        <w:rFonts w:hint="default"/>
      </w:rPr>
    </w:lvl>
    <w:lvl w:ilvl="1" w:tplc="08090019" w:tentative="1">
      <w:start w:val="1"/>
      <w:numFmt w:val="lowerLetter"/>
      <w:lvlText w:val="%2."/>
      <w:lvlJc w:val="left"/>
      <w:pPr>
        <w:ind w:left="2784" w:hanging="360"/>
      </w:pPr>
    </w:lvl>
    <w:lvl w:ilvl="2" w:tplc="0809001B" w:tentative="1">
      <w:start w:val="1"/>
      <w:numFmt w:val="lowerRoman"/>
      <w:lvlText w:val="%3."/>
      <w:lvlJc w:val="right"/>
      <w:pPr>
        <w:ind w:left="3504" w:hanging="180"/>
      </w:pPr>
    </w:lvl>
    <w:lvl w:ilvl="3" w:tplc="0809000F" w:tentative="1">
      <w:start w:val="1"/>
      <w:numFmt w:val="decimal"/>
      <w:lvlText w:val="%4."/>
      <w:lvlJc w:val="left"/>
      <w:pPr>
        <w:ind w:left="4224" w:hanging="360"/>
      </w:pPr>
    </w:lvl>
    <w:lvl w:ilvl="4" w:tplc="08090019" w:tentative="1">
      <w:start w:val="1"/>
      <w:numFmt w:val="lowerLetter"/>
      <w:lvlText w:val="%5."/>
      <w:lvlJc w:val="left"/>
      <w:pPr>
        <w:ind w:left="4944" w:hanging="360"/>
      </w:pPr>
    </w:lvl>
    <w:lvl w:ilvl="5" w:tplc="0809001B" w:tentative="1">
      <w:start w:val="1"/>
      <w:numFmt w:val="lowerRoman"/>
      <w:lvlText w:val="%6."/>
      <w:lvlJc w:val="right"/>
      <w:pPr>
        <w:ind w:left="5664" w:hanging="180"/>
      </w:pPr>
    </w:lvl>
    <w:lvl w:ilvl="6" w:tplc="0809000F" w:tentative="1">
      <w:start w:val="1"/>
      <w:numFmt w:val="decimal"/>
      <w:lvlText w:val="%7."/>
      <w:lvlJc w:val="left"/>
      <w:pPr>
        <w:ind w:left="6384" w:hanging="360"/>
      </w:pPr>
    </w:lvl>
    <w:lvl w:ilvl="7" w:tplc="08090019" w:tentative="1">
      <w:start w:val="1"/>
      <w:numFmt w:val="lowerLetter"/>
      <w:lvlText w:val="%8."/>
      <w:lvlJc w:val="left"/>
      <w:pPr>
        <w:ind w:left="7104" w:hanging="360"/>
      </w:pPr>
    </w:lvl>
    <w:lvl w:ilvl="8" w:tplc="0809001B" w:tentative="1">
      <w:start w:val="1"/>
      <w:numFmt w:val="lowerRoman"/>
      <w:lvlText w:val="%9."/>
      <w:lvlJc w:val="right"/>
      <w:pPr>
        <w:ind w:left="7824" w:hanging="180"/>
      </w:pPr>
    </w:lvl>
  </w:abstractNum>
  <w:abstractNum w:abstractNumId="13" w15:restartNumberingAfterBreak="0">
    <w:nsid w:val="3ACF4EB2"/>
    <w:multiLevelType w:val="hybridMultilevel"/>
    <w:tmpl w:val="CB6C816A"/>
    <w:lvl w:ilvl="0" w:tplc="C7DCCFB6">
      <w:start w:val="1"/>
      <w:numFmt w:val="bullet"/>
      <w:pStyle w:val="Bullet2G"/>
      <w:lvlText w:val="•"/>
      <w:lvlJc w:val="left"/>
      <w:pPr>
        <w:tabs>
          <w:tab w:val="num" w:pos="2268"/>
        </w:tabs>
        <w:ind w:left="2268" w:hanging="170"/>
      </w:pPr>
      <w:rPr>
        <w:rFonts w:ascii="Times New Roman" w:hAnsi="Times New Roman" w:cs="Times New Roman" w:hint="default"/>
      </w:rPr>
    </w:lvl>
    <w:lvl w:ilvl="1" w:tplc="0CD80C64" w:tentative="1">
      <w:start w:val="1"/>
      <w:numFmt w:val="bullet"/>
      <w:lvlText w:val="o"/>
      <w:lvlJc w:val="left"/>
      <w:pPr>
        <w:tabs>
          <w:tab w:val="num" w:pos="3708"/>
        </w:tabs>
        <w:ind w:left="3708" w:hanging="360"/>
      </w:pPr>
      <w:rPr>
        <w:rFonts w:ascii="Courier New" w:hAnsi="Courier New" w:hint="default"/>
      </w:rPr>
    </w:lvl>
    <w:lvl w:ilvl="2" w:tplc="CA942506" w:tentative="1">
      <w:start w:val="1"/>
      <w:numFmt w:val="bullet"/>
      <w:lvlText w:val=""/>
      <w:lvlJc w:val="left"/>
      <w:pPr>
        <w:tabs>
          <w:tab w:val="num" w:pos="4428"/>
        </w:tabs>
        <w:ind w:left="4428" w:hanging="360"/>
      </w:pPr>
      <w:rPr>
        <w:rFonts w:ascii="Wingdings" w:hAnsi="Wingdings" w:hint="default"/>
      </w:rPr>
    </w:lvl>
    <w:lvl w:ilvl="3" w:tplc="D3087D00" w:tentative="1">
      <w:start w:val="1"/>
      <w:numFmt w:val="bullet"/>
      <w:lvlText w:val=""/>
      <w:lvlJc w:val="left"/>
      <w:pPr>
        <w:tabs>
          <w:tab w:val="num" w:pos="5148"/>
        </w:tabs>
        <w:ind w:left="5148" w:hanging="360"/>
      </w:pPr>
      <w:rPr>
        <w:rFonts w:ascii="Symbol" w:hAnsi="Symbol" w:hint="default"/>
      </w:rPr>
    </w:lvl>
    <w:lvl w:ilvl="4" w:tplc="F378CD68" w:tentative="1">
      <w:start w:val="1"/>
      <w:numFmt w:val="bullet"/>
      <w:lvlText w:val="o"/>
      <w:lvlJc w:val="left"/>
      <w:pPr>
        <w:tabs>
          <w:tab w:val="num" w:pos="5868"/>
        </w:tabs>
        <w:ind w:left="5868" w:hanging="360"/>
      </w:pPr>
      <w:rPr>
        <w:rFonts w:ascii="Courier New" w:hAnsi="Courier New" w:hint="default"/>
      </w:rPr>
    </w:lvl>
    <w:lvl w:ilvl="5" w:tplc="961AFEB6" w:tentative="1">
      <w:start w:val="1"/>
      <w:numFmt w:val="bullet"/>
      <w:lvlText w:val=""/>
      <w:lvlJc w:val="left"/>
      <w:pPr>
        <w:tabs>
          <w:tab w:val="num" w:pos="6588"/>
        </w:tabs>
        <w:ind w:left="6588" w:hanging="360"/>
      </w:pPr>
      <w:rPr>
        <w:rFonts w:ascii="Wingdings" w:hAnsi="Wingdings" w:hint="default"/>
      </w:rPr>
    </w:lvl>
    <w:lvl w:ilvl="6" w:tplc="5330E01C" w:tentative="1">
      <w:start w:val="1"/>
      <w:numFmt w:val="bullet"/>
      <w:lvlText w:val=""/>
      <w:lvlJc w:val="left"/>
      <w:pPr>
        <w:tabs>
          <w:tab w:val="num" w:pos="7308"/>
        </w:tabs>
        <w:ind w:left="7308" w:hanging="360"/>
      </w:pPr>
      <w:rPr>
        <w:rFonts w:ascii="Symbol" w:hAnsi="Symbol" w:hint="default"/>
      </w:rPr>
    </w:lvl>
    <w:lvl w:ilvl="7" w:tplc="11DA153E" w:tentative="1">
      <w:start w:val="1"/>
      <w:numFmt w:val="bullet"/>
      <w:lvlText w:val="o"/>
      <w:lvlJc w:val="left"/>
      <w:pPr>
        <w:tabs>
          <w:tab w:val="num" w:pos="8028"/>
        </w:tabs>
        <w:ind w:left="8028" w:hanging="360"/>
      </w:pPr>
      <w:rPr>
        <w:rFonts w:ascii="Courier New" w:hAnsi="Courier New" w:hint="default"/>
      </w:rPr>
    </w:lvl>
    <w:lvl w:ilvl="8" w:tplc="6742B5E8" w:tentative="1">
      <w:start w:val="1"/>
      <w:numFmt w:val="bullet"/>
      <w:lvlText w:val=""/>
      <w:lvlJc w:val="left"/>
      <w:pPr>
        <w:tabs>
          <w:tab w:val="num" w:pos="8748"/>
        </w:tabs>
        <w:ind w:left="8748" w:hanging="360"/>
      </w:pPr>
      <w:rPr>
        <w:rFonts w:ascii="Wingdings" w:hAnsi="Wingdings" w:hint="default"/>
      </w:rPr>
    </w:lvl>
  </w:abstractNum>
  <w:abstractNum w:abstractNumId="14" w15:restartNumberingAfterBreak="0">
    <w:nsid w:val="3B266EC0"/>
    <w:multiLevelType w:val="hybridMultilevel"/>
    <w:tmpl w:val="4B78CE2E"/>
    <w:lvl w:ilvl="0" w:tplc="F18080F2">
      <w:start w:val="1"/>
      <w:numFmt w:val="lowerLetter"/>
      <w:lvlText w:val="(%1)"/>
      <w:lvlJc w:val="left"/>
      <w:pPr>
        <w:ind w:left="2064" w:hanging="360"/>
      </w:pPr>
      <w:rPr>
        <w:rFonts w:hint="default"/>
      </w:rPr>
    </w:lvl>
    <w:lvl w:ilvl="1" w:tplc="08090019" w:tentative="1">
      <w:start w:val="1"/>
      <w:numFmt w:val="lowerLetter"/>
      <w:lvlText w:val="%2."/>
      <w:lvlJc w:val="left"/>
      <w:pPr>
        <w:ind w:left="2784" w:hanging="360"/>
      </w:pPr>
    </w:lvl>
    <w:lvl w:ilvl="2" w:tplc="0809001B" w:tentative="1">
      <w:start w:val="1"/>
      <w:numFmt w:val="lowerRoman"/>
      <w:lvlText w:val="%3."/>
      <w:lvlJc w:val="right"/>
      <w:pPr>
        <w:ind w:left="3504" w:hanging="180"/>
      </w:pPr>
    </w:lvl>
    <w:lvl w:ilvl="3" w:tplc="0809000F" w:tentative="1">
      <w:start w:val="1"/>
      <w:numFmt w:val="decimal"/>
      <w:lvlText w:val="%4."/>
      <w:lvlJc w:val="left"/>
      <w:pPr>
        <w:ind w:left="4224" w:hanging="360"/>
      </w:pPr>
    </w:lvl>
    <w:lvl w:ilvl="4" w:tplc="08090019" w:tentative="1">
      <w:start w:val="1"/>
      <w:numFmt w:val="lowerLetter"/>
      <w:lvlText w:val="%5."/>
      <w:lvlJc w:val="left"/>
      <w:pPr>
        <w:ind w:left="4944" w:hanging="360"/>
      </w:pPr>
    </w:lvl>
    <w:lvl w:ilvl="5" w:tplc="0809001B" w:tentative="1">
      <w:start w:val="1"/>
      <w:numFmt w:val="lowerRoman"/>
      <w:lvlText w:val="%6."/>
      <w:lvlJc w:val="right"/>
      <w:pPr>
        <w:ind w:left="5664" w:hanging="180"/>
      </w:pPr>
    </w:lvl>
    <w:lvl w:ilvl="6" w:tplc="0809000F" w:tentative="1">
      <w:start w:val="1"/>
      <w:numFmt w:val="decimal"/>
      <w:lvlText w:val="%7."/>
      <w:lvlJc w:val="left"/>
      <w:pPr>
        <w:ind w:left="6384" w:hanging="360"/>
      </w:pPr>
    </w:lvl>
    <w:lvl w:ilvl="7" w:tplc="08090019" w:tentative="1">
      <w:start w:val="1"/>
      <w:numFmt w:val="lowerLetter"/>
      <w:lvlText w:val="%8."/>
      <w:lvlJc w:val="left"/>
      <w:pPr>
        <w:ind w:left="7104" w:hanging="360"/>
      </w:pPr>
    </w:lvl>
    <w:lvl w:ilvl="8" w:tplc="0809001B" w:tentative="1">
      <w:start w:val="1"/>
      <w:numFmt w:val="lowerRoman"/>
      <w:lvlText w:val="%9."/>
      <w:lvlJc w:val="right"/>
      <w:pPr>
        <w:ind w:left="7824" w:hanging="180"/>
      </w:pPr>
    </w:lvl>
  </w:abstractNum>
  <w:abstractNum w:abstractNumId="15" w15:restartNumberingAfterBreak="0">
    <w:nsid w:val="3EDB1B0B"/>
    <w:multiLevelType w:val="hybridMultilevel"/>
    <w:tmpl w:val="D47E6566"/>
    <w:lvl w:ilvl="0" w:tplc="AD36924C">
      <w:start w:val="1"/>
      <w:numFmt w:val="decimal"/>
      <w:lvlText w:val="%1."/>
      <w:lvlJc w:val="left"/>
      <w:pPr>
        <w:ind w:left="1689" w:hanging="555"/>
      </w:pPr>
      <w:rPr>
        <w:rFonts w:hint="default"/>
        <w:b w:val="0"/>
        <w:i w:val="0"/>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405F3A09"/>
    <w:multiLevelType w:val="hybridMultilevel"/>
    <w:tmpl w:val="4F24A14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415D42C9"/>
    <w:multiLevelType w:val="hybridMultilevel"/>
    <w:tmpl w:val="FD7E5F18"/>
    <w:lvl w:ilvl="0" w:tplc="ABFA250E">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44DD0BF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B02F59"/>
    <w:multiLevelType w:val="hybridMultilevel"/>
    <w:tmpl w:val="5DD8B1AA"/>
    <w:lvl w:ilvl="0" w:tplc="7A22D036">
      <w:start w:val="1"/>
      <w:numFmt w:val="lowerLetter"/>
      <w:lvlText w:val="(%1)"/>
      <w:lvlJc w:val="left"/>
      <w:pPr>
        <w:ind w:left="2064" w:hanging="360"/>
      </w:pPr>
      <w:rPr>
        <w:rFonts w:hint="default"/>
      </w:rPr>
    </w:lvl>
    <w:lvl w:ilvl="1" w:tplc="08090019" w:tentative="1">
      <w:start w:val="1"/>
      <w:numFmt w:val="lowerLetter"/>
      <w:lvlText w:val="%2."/>
      <w:lvlJc w:val="left"/>
      <w:pPr>
        <w:ind w:left="2784" w:hanging="360"/>
      </w:pPr>
    </w:lvl>
    <w:lvl w:ilvl="2" w:tplc="0809001B" w:tentative="1">
      <w:start w:val="1"/>
      <w:numFmt w:val="lowerRoman"/>
      <w:lvlText w:val="%3."/>
      <w:lvlJc w:val="right"/>
      <w:pPr>
        <w:ind w:left="3504" w:hanging="180"/>
      </w:pPr>
    </w:lvl>
    <w:lvl w:ilvl="3" w:tplc="0809000F" w:tentative="1">
      <w:start w:val="1"/>
      <w:numFmt w:val="decimal"/>
      <w:lvlText w:val="%4."/>
      <w:lvlJc w:val="left"/>
      <w:pPr>
        <w:ind w:left="4224" w:hanging="360"/>
      </w:pPr>
    </w:lvl>
    <w:lvl w:ilvl="4" w:tplc="08090019" w:tentative="1">
      <w:start w:val="1"/>
      <w:numFmt w:val="lowerLetter"/>
      <w:lvlText w:val="%5."/>
      <w:lvlJc w:val="left"/>
      <w:pPr>
        <w:ind w:left="4944" w:hanging="360"/>
      </w:pPr>
    </w:lvl>
    <w:lvl w:ilvl="5" w:tplc="0809001B" w:tentative="1">
      <w:start w:val="1"/>
      <w:numFmt w:val="lowerRoman"/>
      <w:lvlText w:val="%6."/>
      <w:lvlJc w:val="right"/>
      <w:pPr>
        <w:ind w:left="5664" w:hanging="180"/>
      </w:pPr>
    </w:lvl>
    <w:lvl w:ilvl="6" w:tplc="0809000F" w:tentative="1">
      <w:start w:val="1"/>
      <w:numFmt w:val="decimal"/>
      <w:lvlText w:val="%7."/>
      <w:lvlJc w:val="left"/>
      <w:pPr>
        <w:ind w:left="6384" w:hanging="360"/>
      </w:pPr>
    </w:lvl>
    <w:lvl w:ilvl="7" w:tplc="08090019" w:tentative="1">
      <w:start w:val="1"/>
      <w:numFmt w:val="lowerLetter"/>
      <w:lvlText w:val="%8."/>
      <w:lvlJc w:val="left"/>
      <w:pPr>
        <w:ind w:left="7104" w:hanging="360"/>
      </w:pPr>
    </w:lvl>
    <w:lvl w:ilvl="8" w:tplc="0809001B" w:tentative="1">
      <w:start w:val="1"/>
      <w:numFmt w:val="lowerRoman"/>
      <w:lvlText w:val="%9."/>
      <w:lvlJc w:val="right"/>
      <w:pPr>
        <w:ind w:left="7824" w:hanging="180"/>
      </w:pPr>
    </w:lvl>
  </w:abstractNum>
  <w:abstractNum w:abstractNumId="20" w15:restartNumberingAfterBreak="0">
    <w:nsid w:val="5D6664D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D8451B0"/>
    <w:multiLevelType w:val="hybridMultilevel"/>
    <w:tmpl w:val="09544CC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2" w15:restartNumberingAfterBreak="0">
    <w:nsid w:val="5EB16D32"/>
    <w:multiLevelType w:val="hybridMultilevel"/>
    <w:tmpl w:val="F4C00734"/>
    <w:lvl w:ilvl="0" w:tplc="C9F6862E">
      <w:numFmt w:val="bullet"/>
      <w:lvlText w:val=""/>
      <w:lvlJc w:val="left"/>
      <w:pPr>
        <w:ind w:left="2007" w:hanging="360"/>
      </w:pPr>
      <w:rPr>
        <w:rFonts w:ascii="Symbol" w:eastAsia="Times New Roman" w:hAnsi="Symbol" w:cs="Times New Roman"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23"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AD07B2"/>
    <w:multiLevelType w:val="hybridMultilevel"/>
    <w:tmpl w:val="7FEE3222"/>
    <w:lvl w:ilvl="0" w:tplc="8580282E">
      <w:start w:val="1"/>
      <w:numFmt w:val="bullet"/>
      <w:pStyle w:val="Bullet1G"/>
      <w:lvlText w:val="•"/>
      <w:lvlJc w:val="left"/>
      <w:pPr>
        <w:tabs>
          <w:tab w:val="num" w:pos="1701"/>
        </w:tabs>
        <w:ind w:left="1701" w:hanging="170"/>
      </w:pPr>
      <w:rPr>
        <w:rFonts w:ascii="Times New Roman" w:hAnsi="Times New Roman" w:cs="Times New Roman" w:hint="default"/>
      </w:rPr>
    </w:lvl>
    <w:lvl w:ilvl="1" w:tplc="DCC8A98E" w:tentative="1">
      <w:start w:val="1"/>
      <w:numFmt w:val="bullet"/>
      <w:lvlText w:val="o"/>
      <w:lvlJc w:val="left"/>
      <w:pPr>
        <w:tabs>
          <w:tab w:val="num" w:pos="3141"/>
        </w:tabs>
        <w:ind w:left="3141" w:hanging="360"/>
      </w:pPr>
      <w:rPr>
        <w:rFonts w:ascii="Courier New" w:hAnsi="Courier New" w:hint="default"/>
      </w:rPr>
    </w:lvl>
    <w:lvl w:ilvl="2" w:tplc="3A2AC570" w:tentative="1">
      <w:start w:val="1"/>
      <w:numFmt w:val="bullet"/>
      <w:lvlText w:val=""/>
      <w:lvlJc w:val="left"/>
      <w:pPr>
        <w:tabs>
          <w:tab w:val="num" w:pos="3861"/>
        </w:tabs>
        <w:ind w:left="3861" w:hanging="360"/>
      </w:pPr>
      <w:rPr>
        <w:rFonts w:ascii="Wingdings" w:hAnsi="Wingdings" w:hint="default"/>
      </w:rPr>
    </w:lvl>
    <w:lvl w:ilvl="3" w:tplc="175218F4" w:tentative="1">
      <w:start w:val="1"/>
      <w:numFmt w:val="bullet"/>
      <w:lvlText w:val=""/>
      <w:lvlJc w:val="left"/>
      <w:pPr>
        <w:tabs>
          <w:tab w:val="num" w:pos="4581"/>
        </w:tabs>
        <w:ind w:left="4581" w:hanging="360"/>
      </w:pPr>
      <w:rPr>
        <w:rFonts w:ascii="Symbol" w:hAnsi="Symbol" w:hint="default"/>
      </w:rPr>
    </w:lvl>
    <w:lvl w:ilvl="4" w:tplc="B09A7824" w:tentative="1">
      <w:start w:val="1"/>
      <w:numFmt w:val="bullet"/>
      <w:lvlText w:val="o"/>
      <w:lvlJc w:val="left"/>
      <w:pPr>
        <w:tabs>
          <w:tab w:val="num" w:pos="5301"/>
        </w:tabs>
        <w:ind w:left="5301" w:hanging="360"/>
      </w:pPr>
      <w:rPr>
        <w:rFonts w:ascii="Courier New" w:hAnsi="Courier New" w:hint="default"/>
      </w:rPr>
    </w:lvl>
    <w:lvl w:ilvl="5" w:tplc="661CA6B4" w:tentative="1">
      <w:start w:val="1"/>
      <w:numFmt w:val="bullet"/>
      <w:lvlText w:val=""/>
      <w:lvlJc w:val="left"/>
      <w:pPr>
        <w:tabs>
          <w:tab w:val="num" w:pos="6021"/>
        </w:tabs>
        <w:ind w:left="6021" w:hanging="360"/>
      </w:pPr>
      <w:rPr>
        <w:rFonts w:ascii="Wingdings" w:hAnsi="Wingdings" w:hint="default"/>
      </w:rPr>
    </w:lvl>
    <w:lvl w:ilvl="6" w:tplc="DE249700" w:tentative="1">
      <w:start w:val="1"/>
      <w:numFmt w:val="bullet"/>
      <w:lvlText w:val=""/>
      <w:lvlJc w:val="left"/>
      <w:pPr>
        <w:tabs>
          <w:tab w:val="num" w:pos="6741"/>
        </w:tabs>
        <w:ind w:left="6741" w:hanging="360"/>
      </w:pPr>
      <w:rPr>
        <w:rFonts w:ascii="Symbol" w:hAnsi="Symbol" w:hint="default"/>
      </w:rPr>
    </w:lvl>
    <w:lvl w:ilvl="7" w:tplc="42865D24" w:tentative="1">
      <w:start w:val="1"/>
      <w:numFmt w:val="bullet"/>
      <w:lvlText w:val="o"/>
      <w:lvlJc w:val="left"/>
      <w:pPr>
        <w:tabs>
          <w:tab w:val="num" w:pos="7461"/>
        </w:tabs>
        <w:ind w:left="7461" w:hanging="360"/>
      </w:pPr>
      <w:rPr>
        <w:rFonts w:ascii="Courier New" w:hAnsi="Courier New" w:hint="default"/>
      </w:rPr>
    </w:lvl>
    <w:lvl w:ilvl="8" w:tplc="84483668" w:tentative="1">
      <w:start w:val="1"/>
      <w:numFmt w:val="bullet"/>
      <w:lvlText w:val=""/>
      <w:lvlJc w:val="left"/>
      <w:pPr>
        <w:tabs>
          <w:tab w:val="num" w:pos="8181"/>
        </w:tabs>
        <w:ind w:left="8181" w:hanging="360"/>
      </w:pPr>
      <w:rPr>
        <w:rFonts w:ascii="Wingdings" w:hAnsi="Wingdings" w:hint="default"/>
      </w:rPr>
    </w:lvl>
  </w:abstractNum>
  <w:abstractNum w:abstractNumId="25" w15:restartNumberingAfterBreak="0">
    <w:nsid w:val="6DF05DC4"/>
    <w:multiLevelType w:val="hybridMultilevel"/>
    <w:tmpl w:val="C5E699C4"/>
    <w:lvl w:ilvl="0" w:tplc="ABFA250E">
      <w:start w:val="1"/>
      <w:numFmt w:val="decimal"/>
      <w:lvlText w:val="%1."/>
      <w:lvlJc w:val="left"/>
      <w:pPr>
        <w:ind w:left="2823" w:hanging="555"/>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ACA7285"/>
    <w:multiLevelType w:val="hybridMultilevel"/>
    <w:tmpl w:val="258E2F64"/>
    <w:lvl w:ilvl="0" w:tplc="2BD02300">
      <w:start w:val="1"/>
      <w:numFmt w:val="lowerLetter"/>
      <w:lvlText w:val="(%1)"/>
      <w:lvlJc w:val="left"/>
      <w:pPr>
        <w:ind w:left="2324" w:hanging="620"/>
      </w:pPr>
      <w:rPr>
        <w:rFonts w:hint="default"/>
      </w:rPr>
    </w:lvl>
    <w:lvl w:ilvl="1" w:tplc="08090019" w:tentative="1">
      <w:start w:val="1"/>
      <w:numFmt w:val="lowerLetter"/>
      <w:lvlText w:val="%2."/>
      <w:lvlJc w:val="left"/>
      <w:pPr>
        <w:ind w:left="2784" w:hanging="360"/>
      </w:pPr>
    </w:lvl>
    <w:lvl w:ilvl="2" w:tplc="0809001B" w:tentative="1">
      <w:start w:val="1"/>
      <w:numFmt w:val="lowerRoman"/>
      <w:lvlText w:val="%3."/>
      <w:lvlJc w:val="right"/>
      <w:pPr>
        <w:ind w:left="3504" w:hanging="180"/>
      </w:pPr>
    </w:lvl>
    <w:lvl w:ilvl="3" w:tplc="0809000F" w:tentative="1">
      <w:start w:val="1"/>
      <w:numFmt w:val="decimal"/>
      <w:lvlText w:val="%4."/>
      <w:lvlJc w:val="left"/>
      <w:pPr>
        <w:ind w:left="4224" w:hanging="360"/>
      </w:pPr>
    </w:lvl>
    <w:lvl w:ilvl="4" w:tplc="08090019" w:tentative="1">
      <w:start w:val="1"/>
      <w:numFmt w:val="lowerLetter"/>
      <w:lvlText w:val="%5."/>
      <w:lvlJc w:val="left"/>
      <w:pPr>
        <w:ind w:left="4944" w:hanging="360"/>
      </w:pPr>
    </w:lvl>
    <w:lvl w:ilvl="5" w:tplc="0809001B" w:tentative="1">
      <w:start w:val="1"/>
      <w:numFmt w:val="lowerRoman"/>
      <w:lvlText w:val="%6."/>
      <w:lvlJc w:val="right"/>
      <w:pPr>
        <w:ind w:left="5664" w:hanging="180"/>
      </w:pPr>
    </w:lvl>
    <w:lvl w:ilvl="6" w:tplc="0809000F" w:tentative="1">
      <w:start w:val="1"/>
      <w:numFmt w:val="decimal"/>
      <w:lvlText w:val="%7."/>
      <w:lvlJc w:val="left"/>
      <w:pPr>
        <w:ind w:left="6384" w:hanging="360"/>
      </w:pPr>
    </w:lvl>
    <w:lvl w:ilvl="7" w:tplc="08090019" w:tentative="1">
      <w:start w:val="1"/>
      <w:numFmt w:val="lowerLetter"/>
      <w:lvlText w:val="%8."/>
      <w:lvlJc w:val="left"/>
      <w:pPr>
        <w:ind w:left="7104" w:hanging="360"/>
      </w:pPr>
    </w:lvl>
    <w:lvl w:ilvl="8" w:tplc="0809001B" w:tentative="1">
      <w:start w:val="1"/>
      <w:numFmt w:val="lowerRoman"/>
      <w:lvlText w:val="%9."/>
      <w:lvlJc w:val="right"/>
      <w:pPr>
        <w:ind w:left="7824" w:hanging="180"/>
      </w:pPr>
    </w:lvl>
  </w:abstractNum>
  <w:num w:numId="1">
    <w:abstractNumId w:val="24"/>
  </w:num>
  <w:num w:numId="2">
    <w:abstractNumId w:val="13"/>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4"/>
  </w:num>
  <w:num w:numId="15">
    <w:abstractNumId w:val="13"/>
  </w:num>
  <w:num w:numId="16">
    <w:abstractNumId w:val="11"/>
  </w:num>
  <w:num w:numId="17">
    <w:abstractNumId w:val="18"/>
  </w:num>
  <w:num w:numId="18">
    <w:abstractNumId w:val="23"/>
  </w:num>
  <w:num w:numId="19">
    <w:abstractNumId w:val="20"/>
  </w:num>
  <w:num w:numId="20">
    <w:abstractNumId w:val="26"/>
  </w:num>
  <w:num w:numId="21">
    <w:abstractNumId w:val="22"/>
  </w:num>
  <w:num w:numId="22">
    <w:abstractNumId w:val="16"/>
  </w:num>
  <w:num w:numId="23">
    <w:abstractNumId w:val="17"/>
  </w:num>
  <w:num w:numId="24">
    <w:abstractNumId w:val="25"/>
  </w:num>
  <w:num w:numId="25">
    <w:abstractNumId w:val="15"/>
  </w:num>
  <w:num w:numId="26">
    <w:abstractNumId w:val="21"/>
  </w:num>
  <w:num w:numId="27">
    <w:abstractNumId w:val="10"/>
  </w:num>
  <w:num w:numId="28">
    <w:abstractNumId w:val="14"/>
  </w:num>
  <w:num w:numId="29">
    <w:abstractNumId w:val="19"/>
  </w:num>
  <w:num w:numId="30">
    <w:abstractNumId w:val="1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AC"/>
    <w:rsid w:val="000021C8"/>
    <w:rsid w:val="0006172D"/>
    <w:rsid w:val="00082F3C"/>
    <w:rsid w:val="000C2601"/>
    <w:rsid w:val="000E28DB"/>
    <w:rsid w:val="00132D96"/>
    <w:rsid w:val="0018179E"/>
    <w:rsid w:val="001945AD"/>
    <w:rsid w:val="0020217E"/>
    <w:rsid w:val="002451A1"/>
    <w:rsid w:val="002525FA"/>
    <w:rsid w:val="002554D6"/>
    <w:rsid w:val="00280BC4"/>
    <w:rsid w:val="002857C2"/>
    <w:rsid w:val="00306C68"/>
    <w:rsid w:val="0038032D"/>
    <w:rsid w:val="00416755"/>
    <w:rsid w:val="0044376D"/>
    <w:rsid w:val="0049549B"/>
    <w:rsid w:val="004D7298"/>
    <w:rsid w:val="00517FA0"/>
    <w:rsid w:val="005B6DD3"/>
    <w:rsid w:val="005C71B1"/>
    <w:rsid w:val="005F2111"/>
    <w:rsid w:val="00612EE8"/>
    <w:rsid w:val="00645CB4"/>
    <w:rsid w:val="00646D61"/>
    <w:rsid w:val="00660239"/>
    <w:rsid w:val="006F4E0C"/>
    <w:rsid w:val="006F7946"/>
    <w:rsid w:val="006F7EFC"/>
    <w:rsid w:val="00730AD8"/>
    <w:rsid w:val="00756831"/>
    <w:rsid w:val="00762700"/>
    <w:rsid w:val="007771D8"/>
    <w:rsid w:val="007A3407"/>
    <w:rsid w:val="007E14D6"/>
    <w:rsid w:val="00813A40"/>
    <w:rsid w:val="00850B4A"/>
    <w:rsid w:val="00870FD8"/>
    <w:rsid w:val="00884453"/>
    <w:rsid w:val="008C69AC"/>
    <w:rsid w:val="00906E61"/>
    <w:rsid w:val="009704F2"/>
    <w:rsid w:val="00975DE8"/>
    <w:rsid w:val="009906F1"/>
    <w:rsid w:val="009B0FFD"/>
    <w:rsid w:val="009B1505"/>
    <w:rsid w:val="009E377E"/>
    <w:rsid w:val="00A83273"/>
    <w:rsid w:val="00A83F4E"/>
    <w:rsid w:val="00B0255D"/>
    <w:rsid w:val="00B3219F"/>
    <w:rsid w:val="00B51C8F"/>
    <w:rsid w:val="00B604E2"/>
    <w:rsid w:val="00BA6552"/>
    <w:rsid w:val="00BA7D4A"/>
    <w:rsid w:val="00BF63E8"/>
    <w:rsid w:val="00C1370A"/>
    <w:rsid w:val="00C44ABB"/>
    <w:rsid w:val="00CC0B62"/>
    <w:rsid w:val="00CC75ED"/>
    <w:rsid w:val="00CE6604"/>
    <w:rsid w:val="00CF6F64"/>
    <w:rsid w:val="00D07E95"/>
    <w:rsid w:val="00D519E2"/>
    <w:rsid w:val="00D6421F"/>
    <w:rsid w:val="00D83344"/>
    <w:rsid w:val="00DA2FD9"/>
    <w:rsid w:val="00DC1AE0"/>
    <w:rsid w:val="00E24BDF"/>
    <w:rsid w:val="00E2695E"/>
    <w:rsid w:val="00E51747"/>
    <w:rsid w:val="00E51FA3"/>
    <w:rsid w:val="00E7102C"/>
    <w:rsid w:val="00E84E5D"/>
    <w:rsid w:val="00E952DB"/>
    <w:rsid w:val="00EB4B6D"/>
    <w:rsid w:val="00EB6F83"/>
    <w:rsid w:val="00EF03C6"/>
    <w:rsid w:val="00EF4995"/>
    <w:rsid w:val="00F07218"/>
    <w:rsid w:val="00F13470"/>
    <w:rsid w:val="00F35D27"/>
    <w:rsid w:val="00FB19BB"/>
    <w:rsid w:val="00FC2199"/>
    <w:rsid w:val="00FD1771"/>
    <w:rsid w:val="00FF3F8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A1C00E"/>
  <w15:docId w15:val="{12F5F0E3-3ABD-4769-BEAE-19C1C91A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EE8"/>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qFormat/>
    <w:pPr>
      <w:keepNext/>
      <w:keepLines/>
      <w:spacing w:after="0" w:line="240" w:lineRule="auto"/>
      <w:ind w:right="0"/>
      <w:jc w:val="left"/>
      <w:outlineLvl w:val="0"/>
    </w:pPr>
  </w:style>
  <w:style w:type="paragraph" w:styleId="Heading2">
    <w:name w:val="heading 2"/>
    <w:basedOn w:val="Normal"/>
    <w:next w:val="Normal"/>
    <w:link w:val="Heading2Char"/>
    <w:semiHidden/>
    <w:qFormat/>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semiHidden/>
    <w:qFormat/>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semiHidden/>
    <w:qFormat/>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semiHidden/>
    <w:qFormat/>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semiHidden/>
    <w:qFormat/>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semiHidden/>
    <w:qFormat/>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semiHidden/>
    <w:qFormat/>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semiHidden/>
    <w:qFormat/>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rPr>
      <w:rFonts w:ascii="Times New Roman" w:hAnsi="Times New Roman" w:cs="Times New Roman"/>
      <w:b/>
      <w:sz w:val="18"/>
      <w:szCs w:val="20"/>
      <w:lang w:val="en-GB"/>
    </w:rPr>
  </w:style>
  <w:style w:type="paragraph" w:styleId="Footer">
    <w:name w:val="footer"/>
    <w:aliases w:val="3_G"/>
    <w:basedOn w:val="Normal"/>
    <w:link w:val="FooterChar"/>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rPr>
      <w:rFonts w:ascii="Times New Roman" w:hAnsi="Times New Roman" w:cs="Times New Roman"/>
      <w:sz w:val="16"/>
      <w:szCs w:val="20"/>
      <w:lang w:val="en-GB"/>
    </w:rPr>
  </w:style>
  <w:style w:type="paragraph" w:customStyle="1" w:styleId="HMG">
    <w:name w:val="_ H __M_G"/>
    <w:basedOn w:val="Normal"/>
    <w:next w:val="Normal"/>
    <w:qFormat/>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14"/>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15"/>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16"/>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
    <w:basedOn w:val="DefaultParagraphFont"/>
    <w:qFormat/>
    <w:rPr>
      <w:rFonts w:ascii="Times New Roman" w:hAnsi="Times New Roman"/>
      <w:sz w:val="18"/>
      <w:vertAlign w:val="superscript"/>
      <w:lang w:val="en-GB"/>
    </w:rPr>
  </w:style>
  <w:style w:type="character" w:styleId="EndnoteReference">
    <w:name w:val="endnote reference"/>
    <w:aliases w:val="1_G"/>
    <w:basedOn w:val="FootnoteReference"/>
    <w:qFormat/>
    <w:rPr>
      <w:rFonts w:ascii="Times New Roman" w:hAnsi="Times New Roman"/>
      <w:sz w:val="18"/>
      <w:vertAlign w:val="superscript"/>
      <w:lang w:val="en-GB"/>
    </w:rPr>
  </w:style>
  <w:style w:type="table" w:styleId="TableGrid">
    <w:name w:val="Table Grid"/>
    <w:basedOn w:val="TableNormal"/>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Pr>
      <w:color w:val="0000FF"/>
      <w:u w:val="none"/>
    </w:rPr>
  </w:style>
  <w:style w:type="character" w:styleId="FollowedHyperlink">
    <w:name w:val="FollowedHyperlink"/>
    <w:basedOn w:val="DefaultParagraphFont"/>
    <w:semiHidden/>
    <w:rPr>
      <w:color w:val="0000FF"/>
      <w:u w:val="none"/>
    </w:rPr>
  </w:style>
  <w:style w:type="paragraph" w:styleId="FootnoteText">
    <w:name w:val="footnote text"/>
    <w:aliases w:val="5_G"/>
    <w:basedOn w:val="Normal"/>
    <w:link w:val="FootnoteTextChar"/>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rPr>
      <w:rFonts w:ascii="Times New Roman" w:hAnsi="Times New Roman" w:cs="Times New Roman"/>
      <w:sz w:val="18"/>
      <w:szCs w:val="20"/>
      <w:lang w:val="en-GB"/>
    </w:rPr>
  </w:style>
  <w:style w:type="paragraph" w:styleId="EndnoteText">
    <w:name w:val="endnote text"/>
    <w:aliases w:val="2_G"/>
    <w:basedOn w:val="FootnoteText"/>
    <w:link w:val="EndnoteTextChar"/>
    <w:qFormat/>
  </w:style>
  <w:style w:type="character" w:customStyle="1" w:styleId="EndnoteTextChar">
    <w:name w:val="Endnote Text Char"/>
    <w:aliases w:val="2_G Char"/>
    <w:basedOn w:val="DefaultParagraphFont"/>
    <w:link w:val="EndnoteText"/>
    <w:rPr>
      <w:rFonts w:ascii="Times New Roman" w:hAnsi="Times New Roman" w:cs="Times New Roman"/>
      <w:sz w:val="18"/>
      <w:szCs w:val="20"/>
      <w:lang w:val="en-GB"/>
    </w:rPr>
  </w:style>
  <w:style w:type="character" w:styleId="PageNumber">
    <w:name w:val="page number"/>
    <w:aliases w:val="7_G"/>
    <w:basedOn w:val="DefaultParagraphFont"/>
    <w:qFormat/>
    <w:rPr>
      <w:rFonts w:ascii="Times New Roman" w:hAnsi="Times New Roman"/>
      <w:b/>
      <w:sz w:val="18"/>
      <w:lang w:val="en-GB"/>
    </w:rPr>
  </w:style>
  <w:style w:type="character" w:customStyle="1" w:styleId="Heading1Char">
    <w:name w:val="Heading 1 Char"/>
    <w:aliases w:val="Table_G Char"/>
    <w:basedOn w:val="DefaultParagraphFont"/>
    <w:link w:val="Heading1"/>
    <w:rPr>
      <w:rFonts w:ascii="Times New Roman" w:hAnsi="Times New Roman" w:cs="Times New Roman"/>
      <w:sz w:val="20"/>
      <w:szCs w:val="20"/>
      <w:lang w:val="en-GB"/>
    </w:rPr>
  </w:style>
  <w:style w:type="character" w:customStyle="1" w:styleId="Heading2Char">
    <w:name w:val="Heading 2 Char"/>
    <w:basedOn w:val="DefaultParagraphFont"/>
    <w:link w:val="Heading2"/>
    <w:semiHidden/>
    <w:rPr>
      <w:rFonts w:ascii="Times New Roman" w:hAnsi="Times New Roman" w:cs="Times New Roman"/>
      <w:sz w:val="20"/>
      <w:szCs w:val="20"/>
    </w:rPr>
  </w:style>
  <w:style w:type="character" w:customStyle="1" w:styleId="Heading3Char">
    <w:name w:val="Heading 3 Char"/>
    <w:basedOn w:val="DefaultParagraphFont"/>
    <w:link w:val="Heading3"/>
    <w:semiHidden/>
    <w:rPr>
      <w:rFonts w:ascii="Times New Roman" w:hAnsi="Times New Roman" w:cs="Times New Roman"/>
      <w:sz w:val="20"/>
      <w:szCs w:val="20"/>
    </w:rPr>
  </w:style>
  <w:style w:type="character" w:customStyle="1" w:styleId="Heading4Char">
    <w:name w:val="Heading 4 Char"/>
    <w:basedOn w:val="DefaultParagraphFont"/>
    <w:link w:val="Heading4"/>
    <w:semiHidden/>
    <w:rPr>
      <w:rFonts w:ascii="Times New Roman" w:hAnsi="Times New Roman" w:cs="Times New Roman"/>
      <w:sz w:val="20"/>
      <w:szCs w:val="20"/>
    </w:rPr>
  </w:style>
  <w:style w:type="character" w:customStyle="1" w:styleId="Heading5Char">
    <w:name w:val="Heading 5 Char"/>
    <w:basedOn w:val="DefaultParagraphFont"/>
    <w:link w:val="Heading5"/>
    <w:semiHidden/>
    <w:rPr>
      <w:rFonts w:ascii="Times New Roman" w:hAnsi="Times New Roman" w:cs="Times New Roman"/>
      <w:sz w:val="20"/>
      <w:szCs w:val="20"/>
    </w:rPr>
  </w:style>
  <w:style w:type="character" w:customStyle="1" w:styleId="Heading6Char">
    <w:name w:val="Heading 6 Char"/>
    <w:basedOn w:val="DefaultParagraphFont"/>
    <w:link w:val="Heading6"/>
    <w:semiHidden/>
    <w:rPr>
      <w:rFonts w:ascii="Times New Roman" w:hAnsi="Times New Roman" w:cs="Times New Roman"/>
      <w:sz w:val="20"/>
      <w:szCs w:val="20"/>
    </w:rPr>
  </w:style>
  <w:style w:type="character" w:customStyle="1" w:styleId="Heading7Char">
    <w:name w:val="Heading 7 Char"/>
    <w:basedOn w:val="DefaultParagraphFont"/>
    <w:link w:val="Heading7"/>
    <w:semiHidden/>
    <w:rPr>
      <w:rFonts w:ascii="Times New Roman" w:hAnsi="Times New Roman" w:cs="Times New Roman"/>
      <w:sz w:val="20"/>
      <w:szCs w:val="20"/>
    </w:rPr>
  </w:style>
  <w:style w:type="character" w:customStyle="1" w:styleId="Heading8Char">
    <w:name w:val="Heading 8 Char"/>
    <w:basedOn w:val="DefaultParagraphFont"/>
    <w:link w:val="Heading8"/>
    <w:semiHidden/>
    <w:rPr>
      <w:rFonts w:ascii="Times New Roman" w:hAnsi="Times New Roman" w:cs="Times New Roman"/>
      <w:sz w:val="20"/>
      <w:szCs w:val="20"/>
    </w:rPr>
  </w:style>
  <w:style w:type="character" w:customStyle="1" w:styleId="Heading9Char">
    <w:name w:val="Heading 9 Char"/>
    <w:basedOn w:val="DefaultParagraphFont"/>
    <w:link w:val="Heading9"/>
    <w:semiHidden/>
    <w:rPr>
      <w:rFonts w:ascii="Times New Roman" w:hAnsi="Times New Roman" w:cs="Times New Roman"/>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character" w:customStyle="1" w:styleId="SingleTxtGChar">
    <w:name w:val="_ Single Txt_G Char"/>
    <w:link w:val="SingleTxtG"/>
    <w:locked/>
    <w:rPr>
      <w:rFonts w:ascii="Times New Roman" w:hAnsi="Times New Roman" w:cs="Times New Roman"/>
      <w:sz w:val="20"/>
      <w:szCs w:val="20"/>
      <w:lang w:val="en-GB"/>
    </w:rPr>
  </w:style>
  <w:style w:type="numbering" w:styleId="111111">
    <w:name w:val="Outline List 2"/>
    <w:basedOn w:val="NoList"/>
    <w:semiHidden/>
    <w:pPr>
      <w:numPr>
        <w:numId w:val="18"/>
      </w:numPr>
    </w:pPr>
  </w:style>
  <w:style w:type="numbering" w:styleId="1ai">
    <w:name w:val="Outline List 1"/>
    <w:basedOn w:val="NoList"/>
    <w:semiHidden/>
    <w:pPr>
      <w:numPr>
        <w:numId w:val="20"/>
      </w:numPr>
    </w:pPr>
  </w:style>
  <w:style w:type="table" w:customStyle="1" w:styleId="TableGrid1">
    <w:name w:val="Table Grid1"/>
    <w:basedOn w:val="TableNormal"/>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ingleTxt">
    <w:name w:val="__Single Txt"/>
    <w:basedOn w:val="Normal"/>
    <w:rsid w:val="0088445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eastAsiaTheme="minorHAnsi"/>
      <w:spacing w:val="4"/>
      <w:w w:val="103"/>
      <w:kern w:val="14"/>
    </w:rPr>
  </w:style>
  <w:style w:type="paragraph" w:customStyle="1" w:styleId="SS">
    <w:name w:val="__S_S"/>
    <w:basedOn w:val="Normal"/>
    <w:next w:val="Normal"/>
    <w:rsid w:val="0088445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ind w:left="1267" w:right="1267"/>
      <w:outlineLvl w:val="0"/>
    </w:pPr>
    <w:rPr>
      <w:rFonts w:eastAsiaTheme="minorHAnsi"/>
      <w:b/>
      <w:spacing w:val="-2"/>
      <w:w w:val="103"/>
      <w:kern w:val="14"/>
      <w:sz w:val="28"/>
    </w:rPr>
  </w:style>
  <w:style w:type="paragraph" w:styleId="ListParagraph">
    <w:name w:val="List Paragraph"/>
    <w:basedOn w:val="Normal"/>
    <w:uiPriority w:val="34"/>
    <w:semiHidden/>
    <w:qFormat/>
    <w:rsid w:val="00884453"/>
    <w:pPr>
      <w:ind w:left="720"/>
      <w:contextualSpacing/>
    </w:pPr>
  </w:style>
  <w:style w:type="character" w:styleId="CommentReference">
    <w:name w:val="annotation reference"/>
    <w:basedOn w:val="DefaultParagraphFont"/>
    <w:uiPriority w:val="99"/>
    <w:semiHidden/>
    <w:unhideWhenUsed/>
    <w:rsid w:val="00884453"/>
    <w:rPr>
      <w:sz w:val="16"/>
      <w:szCs w:val="16"/>
    </w:rPr>
  </w:style>
  <w:style w:type="paragraph" w:styleId="CommentText">
    <w:name w:val="annotation text"/>
    <w:basedOn w:val="Normal"/>
    <w:link w:val="CommentTextChar"/>
    <w:uiPriority w:val="99"/>
    <w:semiHidden/>
    <w:unhideWhenUsed/>
    <w:rsid w:val="00884453"/>
    <w:pPr>
      <w:spacing w:line="240" w:lineRule="auto"/>
    </w:pPr>
  </w:style>
  <w:style w:type="character" w:customStyle="1" w:styleId="CommentTextChar">
    <w:name w:val="Comment Text Char"/>
    <w:basedOn w:val="DefaultParagraphFont"/>
    <w:link w:val="CommentText"/>
    <w:uiPriority w:val="99"/>
    <w:semiHidden/>
    <w:rsid w:val="0088445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84453"/>
    <w:rPr>
      <w:b/>
      <w:bCs/>
    </w:rPr>
  </w:style>
  <w:style w:type="character" w:customStyle="1" w:styleId="CommentSubjectChar">
    <w:name w:val="Comment Subject Char"/>
    <w:basedOn w:val="CommentTextChar"/>
    <w:link w:val="CommentSubject"/>
    <w:uiPriority w:val="99"/>
    <w:semiHidden/>
    <w:rsid w:val="00884453"/>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undocs.org/HRI/GEN/2/Rev.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ec9062e62ff72b96088b5523939f46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7DF4B-E4F5-4400-B449-572963D65EB2}">
  <ds:schemaRefs>
    <ds:schemaRef ds:uri="http://schemas.microsoft.com/sharepoint/v3/contenttype/forms"/>
  </ds:schemaRefs>
</ds:datastoreItem>
</file>

<file path=customXml/itemProps2.xml><?xml version="1.0" encoding="utf-8"?>
<ds:datastoreItem xmlns:ds="http://schemas.openxmlformats.org/officeDocument/2006/customXml" ds:itemID="{72DD6C2B-8CCF-44C5-A5FA-3B3F3CA714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73E1BD-1DE8-4B37-9153-DF0E9B34E348}"/>
</file>

<file path=docProps/app.xml><?xml version="1.0" encoding="utf-8"?>
<Properties xmlns="http://schemas.openxmlformats.org/officeDocument/2006/extended-properties" xmlns:vt="http://schemas.openxmlformats.org/officeDocument/2006/docPropsVTypes">
  <Template>Normal.dotm</Template>
  <TotalTime>2</TotalTime>
  <Pages>12</Pages>
  <Words>5857</Words>
  <Characters>33386</Characters>
  <Application>Microsoft Office Word</Application>
  <DocSecurity>0</DocSecurity>
  <Lines>278</Lines>
  <Paragraphs>78</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CEDAW/C/FIN/CO/R.8</vt:lpstr>
      <vt:lpstr/>
      <vt:lpstr/>
    </vt:vector>
  </TitlesOfParts>
  <Company>DCM</Company>
  <LinksUpToDate>false</LinksUpToDate>
  <CharactersWithSpaces>39165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CEDAW/C/FIN/CO/R.8</dc:title>
  <dc:subject>2216990</dc:subject>
  <dc:creator>Gloria</dc:creator>
  <cp:keywords/>
  <dc:description/>
  <cp:lastModifiedBy>Jamila Devi Seerathun</cp:lastModifiedBy>
  <cp:revision>3</cp:revision>
  <cp:lastPrinted>2017-04-21T12:16:00Z</cp:lastPrinted>
  <dcterms:created xsi:type="dcterms:W3CDTF">2022-10-31T11:18:00Z</dcterms:created>
  <dcterms:modified xsi:type="dcterms:W3CDTF">2022-10-31T11:19:00Z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4</vt:lpwstr>
  </property>
  <property fmtid="{D5CDD505-2E9C-101B-9397-08002B2CF9AE}" pid="3" name="atitle">
    <vt:lpwstr>Consideration of reports submitted by States parties under article 18 of the Convention on the Elimination of All Forms of Discrimination against Women</vt:lpwstr>
  </property>
  <property fmtid="{D5CDD505-2E9C-101B-9397-08002B2CF9AE}" pid="4" name="Author">
    <vt:lpwstr/>
  </property>
  <property fmtid="{D5CDD505-2E9C-101B-9397-08002B2CF9AE}" pid="5" name="bar">
    <vt:lpwstr/>
  </property>
  <property fmtid="{D5CDD505-2E9C-101B-9397-08002B2CF9AE}" pid="6" name="category">
    <vt:lpwstr>CEDAW</vt:lpwstr>
  </property>
  <property fmtid="{D5CDD505-2E9C-101B-9397-08002B2CF9AE}" pid="7" name="ContentTypeId">
    <vt:lpwstr>0x010100A4CB51DEAB7BC84380640E7EED41B40D</vt:lpwstr>
  </property>
  <property fmtid="{D5CDD505-2E9C-101B-9397-08002B2CF9AE}" pid="8" name="count">
    <vt:lpwstr>Finland</vt:lpwstr>
  </property>
  <property fmtid="{D5CDD505-2E9C-101B-9397-08002B2CF9AE}" pid="9" name="countw">
    <vt:lpwstr>Finland</vt:lpwstr>
  </property>
  <property fmtid="{D5CDD505-2E9C-101B-9397-08002B2CF9AE}" pid="10" name="countwd">
    <vt:lpwstr>Finland</vt:lpwstr>
  </property>
  <property fmtid="{D5CDD505-2E9C-101B-9397-08002B2CF9AE}" pid="11" name="date">
    <vt:lpwstr>10 October 2022</vt:lpwstr>
  </property>
  <property fmtid="{D5CDD505-2E9C-101B-9397-08002B2CF9AE}" pid="12" name="Date-Generated">
    <vt:filetime>2022-08-09T12:47:06Z</vt:filetime>
  </property>
  <property fmtid="{D5CDD505-2E9C-101B-9397-08002B2CF9AE}" pid="13" name="dist">
    <vt:lpwstr>Restricted</vt:lpwstr>
  </property>
  <property fmtid="{D5CDD505-2E9C-101B-9397-08002B2CF9AE}" pid="14" name="doctype">
    <vt:lpwstr>Draft</vt:lpwstr>
  </property>
  <property fmtid="{D5CDD505-2E9C-101B-9397-08002B2CF9AE}" pid="15" name="Entity">
    <vt:lpwstr>Concluding observations</vt:lpwstr>
  </property>
  <property fmtid="{D5CDD505-2E9C-101B-9397-08002B2CF9AE}" pid="16" name="gdoc">
    <vt:lpwstr/>
  </property>
  <property fmtid="{D5CDD505-2E9C-101B-9397-08002B2CF9AE}" pid="17" name="gdocf">
    <vt:lpwstr/>
  </property>
  <property fmtid="{D5CDD505-2E9C-101B-9397-08002B2CF9AE}" pid="18" name="Nmeet">
    <vt:lpwstr>Number</vt:lpwstr>
  </property>
  <property fmtid="{D5CDD505-2E9C-101B-9397-08002B2CF9AE}" pid="19" name="olang">
    <vt:lpwstr>English</vt:lpwstr>
  </property>
  <property fmtid="{D5CDD505-2E9C-101B-9397-08002B2CF9AE}" pid="20" name="Order">
    <vt:r8>159600</vt:r8>
  </property>
  <property fmtid="{D5CDD505-2E9C-101B-9397-08002B2CF9AE}" pid="21" name="Org">
    <vt:lpwstr>OHCHR</vt:lpwstr>
  </property>
  <property fmtid="{D5CDD505-2E9C-101B-9397-08002B2CF9AE}" pid="22" name="prep">
    <vt:lpwstr>eighth periodic report of Finland</vt:lpwstr>
  </property>
  <property fmtid="{D5CDD505-2E9C-101B-9397-08002B2CF9AE}" pid="23" name="preps">
    <vt:lpwstr>eighth periodic report of Finland</vt:lpwstr>
  </property>
  <property fmtid="{D5CDD505-2E9C-101B-9397-08002B2CF9AE}" pid="24" name="prepw">
    <vt:lpwstr>eighth periodic report</vt:lpwstr>
  </property>
  <property fmtid="{D5CDD505-2E9C-101B-9397-08002B2CF9AE}" pid="25" name="prepwc">
    <vt:lpwstr>Eighth periodic report </vt:lpwstr>
  </property>
  <property fmtid="{D5CDD505-2E9C-101B-9397-08002B2CF9AE}" pid="26" name="prepws">
    <vt:lpwstr>eighth periodic report</vt:lpwstr>
  </property>
  <property fmtid="{D5CDD505-2E9C-101B-9397-08002B2CF9AE}" pid="27" name="sdate">
    <vt:lpwstr>10-28 October 2022</vt:lpwstr>
  </property>
  <property fmtid="{D5CDD505-2E9C-101B-9397-08002B2CF9AE}" pid="28" name="snum">
    <vt:lpwstr>Eighty-third</vt:lpwstr>
  </property>
  <property fmtid="{D5CDD505-2E9C-101B-9397-08002B2CF9AE}" pid="29" name="stitle">
    <vt:lpwstr>[Title]</vt:lpwstr>
  </property>
  <property fmtid="{D5CDD505-2E9C-101B-9397-08002B2CF9AE}" pid="30" name="sym1">
    <vt:lpwstr>C/FIN/CO/R.8</vt:lpwstr>
  </property>
  <property fmtid="{D5CDD505-2E9C-101B-9397-08002B2CF9AE}" pid="31" name="symh">
    <vt:lpwstr>CEDAW/C/FIN/CO/R.8</vt:lpwstr>
  </property>
  <property fmtid="{D5CDD505-2E9C-101B-9397-08002B2CF9AE}" pid="32" name="Title">
    <vt:lpwstr>CEDAW/C/FIN/CO/R.8</vt:lpwstr>
  </property>
  <property fmtid="{D5CDD505-2E9C-101B-9397-08002B2CF9AE}" pid="33" name="tlang">
    <vt:lpwstr/>
  </property>
  <property fmtid="{D5CDD505-2E9C-101B-9397-08002B2CF9AE}" pid="34" name="virs">
    <vt:lpwstr>English, French and Spanish only</vt:lpwstr>
  </property>
  <property fmtid="{D5CDD505-2E9C-101B-9397-08002B2CF9AE}" pid="35" name="GrammarlyDocumentId">
    <vt:lpwstr>f54eb89b777f4ba440175caef574fe41a8a9dfa4651659d6beb6fa6cce64dd88</vt:lpwstr>
  </property>
</Properties>
</file>