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25EC" w14:textId="77777777" w:rsidR="00E25552" w:rsidRPr="007E285C" w:rsidRDefault="000358C2" w:rsidP="007E285C">
      <w:pPr>
        <w:pStyle w:val="Otsikko1"/>
        <w:spacing w:line="276" w:lineRule="auto"/>
        <w:jc w:val="both"/>
        <w:rPr>
          <w:sz w:val="22"/>
          <w:szCs w:val="22"/>
        </w:rPr>
        <w:sectPr w:rsidR="00E25552" w:rsidRPr="007E285C" w:rsidSect="000C329D">
          <w:footerReference w:type="even" r:id="rId8"/>
          <w:footerReference w:type="default" r:id="rId9"/>
          <w:headerReference w:type="first" r:id="rId10"/>
          <w:footerReference w:type="first" r:id="rId11"/>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30FF8D10" wp14:editId="56D37F18">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C39512" w14:textId="77777777" w:rsidR="009A0275" w:rsidRDefault="007E285C" w:rsidP="0042316A">
                            <w:pPr>
                              <w:pStyle w:val="Ooitekentt"/>
                              <w:rPr>
                                <w:lang w:val="fi-FI"/>
                              </w:rPr>
                            </w:pPr>
                            <w:r>
                              <w:rPr>
                                <w:lang w:val="fi-FI"/>
                              </w:rPr>
                              <w:t xml:space="preserve"> </w:t>
                            </w:r>
                            <w:r w:rsidR="001D4C3E">
                              <w:rPr>
                                <w:lang w:val="fi-FI"/>
                              </w:rPr>
                              <w:t>Lausunto</w:t>
                            </w:r>
                          </w:p>
                          <w:p w14:paraId="3F3AADD4" w14:textId="77777777"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" filled="f" stroked="f">
                <v:path arrowok="t"/>
                <v:textbox inset="0,0,0,0">
                  <w:txbxContent>
                    <w:p w:rsidR="009A0275" w:rsidRDefault="007E285C" w:rsidP="0042316A">
                      <w:pPr>
                        <w:pStyle w:val="Ooitekentt"/>
                        <w:rPr>
                          <w:lang w:val="fi-FI"/>
                        </w:rPr>
                      </w:pPr>
                      <w:r>
                        <w:rPr>
                          <w:lang w:val="fi-FI"/>
                        </w:rPr>
                        <w:t xml:space="preserve"> </w:t>
                      </w:r>
                      <w:r w:rsidR="001D4C3E">
                        <w:rPr>
                          <w:lang w:val="fi-FI"/>
                        </w:rPr>
                        <w:t>Lausunto</w:t>
                      </w:r>
                    </w:p>
                    <w:p w:rsidR="00E813C7" w:rsidRDefault="00E813C7" w:rsidP="0042316A">
                      <w:pPr>
                        <w:pStyle w:val="Ooitekentt"/>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0ABFA539" wp14:editId="75322597">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2ECC661" w14:textId="2086671D" w:rsidR="0042316A" w:rsidRPr="007E285C" w:rsidRDefault="009A617B" w:rsidP="00A24839">
                            <w:pPr>
                              <w:pStyle w:val="Pivysjadiaarinumero"/>
                              <w:rPr>
                                <w:lang w:val="fi-FI"/>
                              </w:rPr>
                            </w:pPr>
                            <w:r>
                              <w:rPr>
                                <w:lang w:val="fi-FI"/>
                              </w:rPr>
                              <w:t>IOK/21/2020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BFA539" id="_x0000_t202" coordsize="21600,21600" o:spt="202" path="m,l,21600r21600,l21600,xe">
                <v:stroke joinstyle="miter"/>
                <v:path gradientshapeok="t" o:connecttype="rect"/>
              </v:shapetype>
              <v:shape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" filled="f" stroked="f">
                <v:path arrowok="t"/>
                <v:textbox inset="0,0,0,0">
                  <w:txbxContent>
                    <w:p w14:paraId="22ECC661" w14:textId="2086671D" w:rsidR="0042316A" w:rsidRPr="007E285C" w:rsidRDefault="009A617B" w:rsidP="00A24839">
                      <w:pPr>
                        <w:pStyle w:val="Pivysjadiaarinumero"/>
                        <w:rPr>
                          <w:lang w:val="fi-FI"/>
                        </w:rPr>
                      </w:pPr>
                      <w:r>
                        <w:rPr>
                          <w:lang w:val="fi-FI"/>
                        </w:rPr>
                        <w:t>IOK/21/2020</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1FD9004D" wp14:editId="62ED59EB">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762EE1A" w14:textId="4B07D2BF" w:rsidR="00A24839" w:rsidRPr="003B4325" w:rsidRDefault="006C1591" w:rsidP="00A24839">
                            <w:pPr>
                              <w:pStyle w:val="Pivysjadiaarinumero"/>
                              <w:rPr>
                                <w:lang w:val="fi-FI"/>
                              </w:rPr>
                            </w:pPr>
                            <w:r w:rsidRPr="00F544C4">
                              <w:t>22</w:t>
                            </w:r>
                            <w:r w:rsidR="007E285C" w:rsidRPr="00F544C4">
                              <w:t>.</w:t>
                            </w:r>
                            <w:r w:rsidR="006974FA" w:rsidRPr="00F544C4">
                              <w:t>5</w:t>
                            </w:r>
                            <w:r w:rsidR="007E285C" w:rsidRPr="00F544C4">
                              <w:t>.</w:t>
                            </w:r>
                            <w:r w:rsidR="006974FA" w:rsidRPr="00F544C4">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D9004D" id="_x0000_t202" coordsize="21600,21600" o:spt="202" path="m,l,21600r21600,l21600,xe">
                <v:stroke joinstyle="miter"/>
                <v:path gradientshapeok="t" o:connecttype="rect"/>
              </v:shapetype>
              <v:shap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" filled="f" stroked="f">
                <v:path arrowok="t"/>
                <v:textbox inset="0,0,0,0">
                  <w:txbxContent>
                    <w:p w14:paraId="7762EE1A" w14:textId="4B07D2BF" w:rsidR="00A24839" w:rsidRPr="003B4325" w:rsidRDefault="006C1591" w:rsidP="00A24839">
                      <w:pPr>
                        <w:pStyle w:val="Pivysjadiaarinumero"/>
                        <w:rPr>
                          <w:lang w:val="fi-FI"/>
                        </w:rPr>
                      </w:pPr>
                      <w:r w:rsidRPr="00F544C4">
                        <w:t>22</w:t>
                      </w:r>
                      <w:r w:rsidR="007E285C" w:rsidRPr="00F544C4">
                        <w:t>.</w:t>
                      </w:r>
                      <w:r w:rsidR="006974FA" w:rsidRPr="00F544C4">
                        <w:t>5</w:t>
                      </w:r>
                      <w:r w:rsidR="007E285C" w:rsidRPr="00F544C4">
                        <w:t>.</w:t>
                      </w:r>
                      <w:r w:rsidR="006974FA" w:rsidRPr="00F544C4">
                        <w:t>2020</w:t>
                      </w:r>
                    </w:p>
                  </w:txbxContent>
                </v:textbox>
                <w10:wrap type="square"/>
              </v:shape>
            </w:pict>
          </mc:Fallback>
        </mc:AlternateContent>
      </w:r>
    </w:p>
    <w:p w14:paraId="4A858D1A" w14:textId="77777777" w:rsidR="007E285C" w:rsidRPr="00EF22C8" w:rsidRDefault="007E285C" w:rsidP="007E285C">
      <w:pPr>
        <w:rPr>
          <w:sz w:val="22"/>
        </w:rPr>
      </w:pPr>
    </w:p>
    <w:p w14:paraId="0082F777" w14:textId="77777777" w:rsidR="007E285C" w:rsidRPr="00EF22C8" w:rsidRDefault="007E285C" w:rsidP="007E285C">
      <w:pPr>
        <w:rPr>
          <w:sz w:val="22"/>
        </w:rPr>
      </w:pPr>
    </w:p>
    <w:p w14:paraId="3B5C3B9D" w14:textId="77777777" w:rsidR="00A24839" w:rsidRPr="00EF22C8" w:rsidRDefault="00076B3F" w:rsidP="007E285C">
      <w:pPr>
        <w:pStyle w:val="Otsikko1"/>
        <w:spacing w:line="276" w:lineRule="auto"/>
        <w:jc w:val="both"/>
        <w:rPr>
          <w:sz w:val="22"/>
          <w:szCs w:val="22"/>
        </w:rPr>
      </w:pPr>
      <w:r w:rsidRPr="00EF22C8">
        <w:rPr>
          <w:sz w:val="22"/>
          <w:szCs w:val="22"/>
        </w:rPr>
        <w:t>Viite</w:t>
      </w:r>
      <w:r w:rsidR="006974FA" w:rsidRPr="00EF22C8">
        <w:rPr>
          <w:sz w:val="22"/>
          <w:szCs w:val="22"/>
        </w:rPr>
        <w:t>:</w:t>
      </w:r>
      <w:r w:rsidR="00F76C69" w:rsidRPr="00EF22C8">
        <w:rPr>
          <w:sz w:val="22"/>
          <w:szCs w:val="22"/>
        </w:rPr>
        <w:tab/>
      </w:r>
      <w:r w:rsidR="006974FA" w:rsidRPr="00EF22C8">
        <w:rPr>
          <w:sz w:val="22"/>
          <w:szCs w:val="22"/>
        </w:rPr>
        <w:t>Lausuntopyyntö 9.4.2020 (PF0Y3SMK-12)</w:t>
      </w:r>
    </w:p>
    <w:p w14:paraId="5C67D665" w14:textId="77777777" w:rsidR="00E25552" w:rsidRPr="00EF22C8" w:rsidRDefault="00076B3F" w:rsidP="007E285C">
      <w:pPr>
        <w:pStyle w:val="Otsikko2"/>
        <w:spacing w:line="276" w:lineRule="auto"/>
        <w:jc w:val="both"/>
        <w:rPr>
          <w:sz w:val="22"/>
          <w:szCs w:val="22"/>
        </w:rPr>
      </w:pPr>
      <w:r w:rsidRPr="00EF22C8">
        <w:rPr>
          <w:sz w:val="22"/>
          <w:szCs w:val="22"/>
        </w:rPr>
        <w:t>Asia</w:t>
      </w:r>
      <w:r w:rsidR="006974FA" w:rsidRPr="00EF22C8">
        <w:rPr>
          <w:sz w:val="22"/>
          <w:szCs w:val="22"/>
        </w:rPr>
        <w:t>:</w:t>
      </w:r>
      <w:r w:rsidR="00F76C69" w:rsidRPr="00EF22C8">
        <w:rPr>
          <w:sz w:val="22"/>
          <w:szCs w:val="22"/>
        </w:rPr>
        <w:tab/>
      </w:r>
      <w:r w:rsidR="006974FA" w:rsidRPr="00EF22C8">
        <w:rPr>
          <w:sz w:val="22"/>
          <w:szCs w:val="22"/>
        </w:rPr>
        <w:t>Lausunto ihmisoikeuksia ja biolääketiedettä koskevan Euroopan neuvoston yleissopimuksen lisäpöytäkirjaluonnoksesta</w:t>
      </w:r>
    </w:p>
    <w:p w14:paraId="1698B643" w14:textId="77777777" w:rsidR="001D4C3E" w:rsidRPr="00EF22C8" w:rsidRDefault="001D4C3E" w:rsidP="001D4C3E">
      <w:pPr>
        <w:rPr>
          <w:sz w:val="22"/>
        </w:rPr>
      </w:pPr>
    </w:p>
    <w:p w14:paraId="7B94EC72" w14:textId="77777777" w:rsidR="001D4C3E" w:rsidRPr="00EF22C8" w:rsidRDefault="001D4C3E" w:rsidP="001D4C3E">
      <w:pPr>
        <w:pStyle w:val="Otsikko2"/>
        <w:rPr>
          <w:b w:val="0"/>
          <w:sz w:val="22"/>
          <w:szCs w:val="22"/>
        </w:rPr>
      </w:pPr>
      <w:r w:rsidRPr="00EF22C8">
        <w:rPr>
          <w:b w:val="0"/>
          <w:sz w:val="22"/>
          <w:szCs w:val="22"/>
        </w:rPr>
        <w:t>Yleistä</w:t>
      </w:r>
    </w:p>
    <w:p w14:paraId="1B3FD5E4" w14:textId="77777777" w:rsidR="001D4C3E" w:rsidRPr="00EF22C8" w:rsidRDefault="001D4C3E" w:rsidP="001D4C3E">
      <w:pPr>
        <w:rPr>
          <w:sz w:val="22"/>
        </w:rPr>
      </w:pPr>
    </w:p>
    <w:p w14:paraId="7AFD44B2" w14:textId="77777777" w:rsidR="00762C4D" w:rsidRPr="00EF22C8" w:rsidRDefault="00762C4D" w:rsidP="00EF22C8">
      <w:pPr>
        <w:spacing w:line="276" w:lineRule="auto"/>
        <w:jc w:val="both"/>
        <w:rPr>
          <w:sz w:val="22"/>
        </w:rPr>
      </w:pPr>
      <w:r w:rsidRPr="00EF22C8">
        <w:rPr>
          <w:sz w:val="22"/>
        </w:rPr>
        <w:t>Ihmisoikeuskeskus kiittää ulkoministeriötä mahdollisuudesta lausua ihmisoikeuksia ja biolääketiedettä koskevan Euroopan neuvoston yleissopimuksen lisäpöytäkirjaluonnoksesta.</w:t>
      </w:r>
    </w:p>
    <w:p w14:paraId="61415BB2" w14:textId="77777777" w:rsidR="00762C4D" w:rsidRPr="00EF22C8" w:rsidRDefault="00762C4D" w:rsidP="00EF22C8">
      <w:pPr>
        <w:spacing w:line="276" w:lineRule="auto"/>
        <w:jc w:val="both"/>
        <w:rPr>
          <w:sz w:val="22"/>
        </w:rPr>
      </w:pPr>
    </w:p>
    <w:p w14:paraId="23679F65" w14:textId="77777777" w:rsidR="001D4C3E" w:rsidRPr="00EF22C8" w:rsidRDefault="001D4C3E" w:rsidP="00EF22C8">
      <w:pPr>
        <w:spacing w:line="276" w:lineRule="auto"/>
        <w:jc w:val="both"/>
        <w:rPr>
          <w:sz w:val="22"/>
        </w:rPr>
      </w:pPr>
      <w:r w:rsidRPr="00EF22C8">
        <w:rPr>
          <w:sz w:val="22"/>
        </w:rPr>
        <w:t xml:space="preserve">YK:n vammaisyleissopimuksen 33(2) artiklan tehtävät on osoitettu eduskunnan oikeusasiamiehelle, Ihmisoikeuskeskukselle ja sen valtuuskunnalle, jotka yhdessä muodostavat Suomen kansallisen ihmisoikeusinstituution. </w:t>
      </w:r>
    </w:p>
    <w:p w14:paraId="595AB676" w14:textId="77777777" w:rsidR="00762C4D" w:rsidRPr="00EF22C8" w:rsidRDefault="00762C4D" w:rsidP="00EF22C8">
      <w:pPr>
        <w:spacing w:line="276" w:lineRule="auto"/>
        <w:jc w:val="both"/>
        <w:rPr>
          <w:sz w:val="22"/>
        </w:rPr>
      </w:pPr>
    </w:p>
    <w:p w14:paraId="0816C5BB" w14:textId="77777777" w:rsidR="00762C4D" w:rsidRPr="00EF22C8" w:rsidRDefault="00762C4D" w:rsidP="00EF22C8">
      <w:pPr>
        <w:spacing w:line="276" w:lineRule="auto"/>
        <w:jc w:val="both"/>
        <w:rPr>
          <w:sz w:val="22"/>
        </w:rPr>
      </w:pPr>
      <w:r w:rsidRPr="00EF22C8">
        <w:rPr>
          <w:sz w:val="22"/>
        </w:rPr>
        <w:t xml:space="preserve">Ihmisoikeuskeskus arvioi </w:t>
      </w:r>
      <w:r w:rsidR="00EF22C8">
        <w:rPr>
          <w:sz w:val="22"/>
        </w:rPr>
        <w:t xml:space="preserve">lisäpöytäkirjaluonnosta </w:t>
      </w:r>
      <w:r w:rsidRPr="00EF22C8">
        <w:rPr>
          <w:sz w:val="22"/>
        </w:rPr>
        <w:t xml:space="preserve">erityisesti </w:t>
      </w:r>
      <w:r w:rsidR="00EF22C8">
        <w:rPr>
          <w:sz w:val="22"/>
        </w:rPr>
        <w:t xml:space="preserve">suhteessa </w:t>
      </w:r>
      <w:r w:rsidRPr="00EF22C8">
        <w:rPr>
          <w:sz w:val="22"/>
        </w:rPr>
        <w:t xml:space="preserve">YK:n </w:t>
      </w:r>
      <w:r w:rsidR="00674E49" w:rsidRPr="00EF22C8">
        <w:rPr>
          <w:sz w:val="22"/>
        </w:rPr>
        <w:t>vammaisyleissopimukseen.</w:t>
      </w:r>
    </w:p>
    <w:p w14:paraId="6CAC49E2" w14:textId="77777777" w:rsidR="001D4C3E" w:rsidRPr="00EF22C8" w:rsidRDefault="001D4C3E" w:rsidP="00EF22C8">
      <w:pPr>
        <w:spacing w:line="276" w:lineRule="auto"/>
        <w:jc w:val="both"/>
        <w:rPr>
          <w:sz w:val="22"/>
        </w:rPr>
      </w:pPr>
    </w:p>
    <w:p w14:paraId="289B50B9" w14:textId="634FA205" w:rsidR="00762C4D" w:rsidRPr="00EF22C8" w:rsidRDefault="001D4C3E" w:rsidP="00EF22C8">
      <w:pPr>
        <w:spacing w:line="276" w:lineRule="auto"/>
        <w:jc w:val="both"/>
        <w:rPr>
          <w:sz w:val="22"/>
        </w:rPr>
      </w:pPr>
      <w:r w:rsidRPr="00EF22C8">
        <w:rPr>
          <w:sz w:val="22"/>
        </w:rPr>
        <w:t>Ihmisoikeuskeskus</w:t>
      </w:r>
      <w:r w:rsidR="004B493E" w:rsidRPr="00EF22C8">
        <w:rPr>
          <w:sz w:val="22"/>
        </w:rPr>
        <w:t xml:space="preserve"> korostaa, että </w:t>
      </w:r>
      <w:r w:rsidR="00762C4D" w:rsidRPr="00EF22C8">
        <w:rPr>
          <w:sz w:val="22"/>
        </w:rPr>
        <w:t>lisäpöytäkirjan jatkovalmistelussa ja siitä päätettäessä on</w:t>
      </w:r>
      <w:r w:rsidR="00F544C4">
        <w:rPr>
          <w:sz w:val="22"/>
        </w:rPr>
        <w:t xml:space="preserve"> pyrittävä huomioimaan </w:t>
      </w:r>
      <w:r w:rsidR="00762C4D" w:rsidRPr="00EF22C8">
        <w:rPr>
          <w:sz w:val="22"/>
        </w:rPr>
        <w:t xml:space="preserve">vammaisten henkilöiden oikeuksien komitean, Euroopan ihmisoikeusvaltuutetun ja vammaisjärjestöjen sitä kohtaan esittämä voimakas kritiikki. </w:t>
      </w:r>
    </w:p>
    <w:p w14:paraId="69749927" w14:textId="77777777" w:rsidR="00762C4D" w:rsidRPr="00EF22C8" w:rsidRDefault="00674E49" w:rsidP="00762C4D">
      <w:pPr>
        <w:pStyle w:val="Otsikko2"/>
        <w:rPr>
          <w:b w:val="0"/>
          <w:sz w:val="22"/>
          <w:szCs w:val="22"/>
        </w:rPr>
      </w:pPr>
      <w:r w:rsidRPr="00EF22C8">
        <w:rPr>
          <w:b w:val="0"/>
          <w:sz w:val="22"/>
          <w:szCs w:val="22"/>
        </w:rPr>
        <w:t xml:space="preserve">YK:n </w:t>
      </w:r>
      <w:r w:rsidR="00515F24" w:rsidRPr="00EF22C8">
        <w:rPr>
          <w:b w:val="0"/>
          <w:sz w:val="22"/>
          <w:szCs w:val="22"/>
        </w:rPr>
        <w:t xml:space="preserve">vammaisyleissopimuksen </w:t>
      </w:r>
      <w:r w:rsidR="00EF22C8">
        <w:rPr>
          <w:b w:val="0"/>
          <w:sz w:val="22"/>
          <w:szCs w:val="22"/>
        </w:rPr>
        <w:t>suhde lisäpöytäkirjaluonnokseen</w:t>
      </w:r>
    </w:p>
    <w:p w14:paraId="3924661A" w14:textId="77777777" w:rsidR="00EF05C3" w:rsidRPr="00EF22C8" w:rsidRDefault="00EF05C3" w:rsidP="001D4C3E">
      <w:pPr>
        <w:rPr>
          <w:sz w:val="22"/>
        </w:rPr>
      </w:pPr>
    </w:p>
    <w:p w14:paraId="446DD3BA" w14:textId="1592465B" w:rsidR="00A86EA0" w:rsidRDefault="00EF05C3" w:rsidP="00EF22C8">
      <w:pPr>
        <w:spacing w:line="276" w:lineRule="auto"/>
        <w:jc w:val="both"/>
        <w:rPr>
          <w:sz w:val="22"/>
        </w:rPr>
      </w:pPr>
      <w:r w:rsidRPr="00EF22C8">
        <w:rPr>
          <w:sz w:val="22"/>
        </w:rPr>
        <w:t xml:space="preserve">Vammaisyleissopimuksen 12 artiklan mukaan vammaiset </w:t>
      </w:r>
      <w:r w:rsidR="00EF22C8">
        <w:rPr>
          <w:sz w:val="22"/>
        </w:rPr>
        <w:t xml:space="preserve">henkilöt </w:t>
      </w:r>
      <w:r w:rsidRPr="00EF22C8">
        <w:rPr>
          <w:sz w:val="22"/>
        </w:rPr>
        <w:t xml:space="preserve">ovat yhdenvertaisia lain edessä ja oikeudellisesti kelpoisia yhdenvertaisesti muiden kanssa kaikilla elämän aloilla. </w:t>
      </w:r>
      <w:r w:rsidR="00A86EA0" w:rsidRPr="00EF22C8">
        <w:rPr>
          <w:sz w:val="22"/>
        </w:rPr>
        <w:t xml:space="preserve">Sopimusosapuolilla on velvollisuus taata vammaisten henkilöiden oikeus päättää omista asioistaan ja </w:t>
      </w:r>
      <w:r w:rsidR="00EF22C8">
        <w:rPr>
          <w:sz w:val="22"/>
        </w:rPr>
        <w:t xml:space="preserve">niiden on </w:t>
      </w:r>
      <w:r w:rsidR="00A86EA0" w:rsidRPr="00EF22C8">
        <w:rPr>
          <w:sz w:val="22"/>
        </w:rPr>
        <w:t>pidättäydyttävä toimista, joissa päätöksen tekee tai suostumuksen antaa vammaisen henkilön puolesta toinen henkilö (</w:t>
      </w:r>
      <w:r w:rsidR="00EF22C8">
        <w:rPr>
          <w:sz w:val="22"/>
        </w:rPr>
        <w:t>”</w:t>
      </w:r>
      <w:proofErr w:type="spellStart"/>
      <w:r w:rsidR="00A86EA0" w:rsidRPr="00EF22C8">
        <w:rPr>
          <w:i/>
          <w:sz w:val="22"/>
        </w:rPr>
        <w:t>substitute</w:t>
      </w:r>
      <w:proofErr w:type="spellEnd"/>
      <w:r w:rsidR="00A86EA0" w:rsidRPr="00EF22C8">
        <w:rPr>
          <w:i/>
          <w:sz w:val="22"/>
        </w:rPr>
        <w:t xml:space="preserve"> </w:t>
      </w:r>
      <w:proofErr w:type="spellStart"/>
      <w:r w:rsidR="00A86EA0" w:rsidRPr="00EF22C8">
        <w:rPr>
          <w:i/>
          <w:sz w:val="22"/>
        </w:rPr>
        <w:t>decision-making</w:t>
      </w:r>
      <w:proofErr w:type="spellEnd"/>
      <w:r w:rsidR="00EF22C8">
        <w:rPr>
          <w:i/>
          <w:sz w:val="22"/>
        </w:rPr>
        <w:t>”</w:t>
      </w:r>
      <w:r w:rsidR="00A86EA0" w:rsidRPr="00EF22C8">
        <w:rPr>
          <w:sz w:val="22"/>
        </w:rPr>
        <w:t xml:space="preserve">). Sopimusosapuolilla on </w:t>
      </w:r>
      <w:r w:rsidR="00EF22C8">
        <w:rPr>
          <w:sz w:val="22"/>
        </w:rPr>
        <w:t xml:space="preserve">lisäksi </w:t>
      </w:r>
      <w:r w:rsidR="00A86EA0" w:rsidRPr="00EF22C8">
        <w:rPr>
          <w:sz w:val="22"/>
        </w:rPr>
        <w:t xml:space="preserve">velvollisuus </w:t>
      </w:r>
      <w:r w:rsidR="00515F24" w:rsidRPr="00EF22C8">
        <w:rPr>
          <w:sz w:val="22"/>
        </w:rPr>
        <w:t xml:space="preserve">saattaa vammaisten henkilöiden saataville tuki, jota he mahdollisesti </w:t>
      </w:r>
      <w:r w:rsidR="00515F24" w:rsidRPr="00EF22C8">
        <w:rPr>
          <w:sz w:val="22"/>
        </w:rPr>
        <w:lastRenderedPageBreak/>
        <w:t>tarvitsevat oikeudellista kelpoisuuttaan käyttäessään.</w:t>
      </w:r>
      <w:r w:rsidR="00515F24" w:rsidRPr="00EF22C8">
        <w:rPr>
          <w:rStyle w:val="Alaviitteenviite"/>
          <w:sz w:val="22"/>
        </w:rPr>
        <w:footnoteReference w:id="1"/>
      </w:r>
    </w:p>
    <w:p w14:paraId="27A1DDF0" w14:textId="213F06CF" w:rsidR="009A617B" w:rsidRDefault="009A617B" w:rsidP="00EF22C8">
      <w:pPr>
        <w:spacing w:line="276" w:lineRule="auto"/>
        <w:jc w:val="both"/>
        <w:rPr>
          <w:sz w:val="22"/>
        </w:rPr>
      </w:pPr>
    </w:p>
    <w:p w14:paraId="35D7D598" w14:textId="53E5526A" w:rsidR="009A617B" w:rsidRDefault="009A617B" w:rsidP="00EF22C8">
      <w:pPr>
        <w:spacing w:line="276" w:lineRule="auto"/>
        <w:jc w:val="both"/>
        <w:rPr>
          <w:sz w:val="22"/>
        </w:rPr>
      </w:pPr>
      <w:r>
        <w:rPr>
          <w:sz w:val="22"/>
        </w:rPr>
        <w:t>Edelliseen viitaten Ihmisoikeuskeskus toteaa</w:t>
      </w:r>
      <w:r w:rsidRPr="00F544C4">
        <w:rPr>
          <w:sz w:val="22"/>
        </w:rPr>
        <w:t>,</w:t>
      </w:r>
      <w:r w:rsidR="00F544C4" w:rsidRPr="00F544C4">
        <w:rPr>
          <w:sz w:val="22"/>
        </w:rPr>
        <w:t xml:space="preserve"> että </w:t>
      </w:r>
      <w:r>
        <w:rPr>
          <w:sz w:val="22"/>
        </w:rPr>
        <w:t>lisäpöytäkirjaluonnoksessa ei nojauduta tuettuun päätöksentekoon (”</w:t>
      </w:r>
      <w:proofErr w:type="spellStart"/>
      <w:r>
        <w:rPr>
          <w:i/>
          <w:sz w:val="22"/>
        </w:rPr>
        <w:t>supported</w:t>
      </w:r>
      <w:proofErr w:type="spellEnd"/>
      <w:r>
        <w:rPr>
          <w:i/>
          <w:sz w:val="22"/>
        </w:rPr>
        <w:t xml:space="preserve"> </w:t>
      </w:r>
      <w:proofErr w:type="spellStart"/>
      <w:r>
        <w:rPr>
          <w:i/>
          <w:sz w:val="22"/>
        </w:rPr>
        <w:t>decision-</w:t>
      </w:r>
      <w:r w:rsidRPr="009A617B">
        <w:rPr>
          <w:i/>
          <w:sz w:val="22"/>
        </w:rPr>
        <w:t>making</w:t>
      </w:r>
      <w:proofErr w:type="spellEnd"/>
      <w:r>
        <w:rPr>
          <w:i/>
          <w:sz w:val="22"/>
        </w:rPr>
        <w:t>”</w:t>
      </w:r>
      <w:r>
        <w:rPr>
          <w:sz w:val="22"/>
        </w:rPr>
        <w:t xml:space="preserve">), jota vammaisyleissopimus edellyttää. </w:t>
      </w:r>
      <w:r w:rsidR="00F544C4">
        <w:rPr>
          <w:sz w:val="22"/>
        </w:rPr>
        <w:t xml:space="preserve">Lisäpöytäkirjassa pitäisi vahvistaa tuetun päätöksenteon </w:t>
      </w:r>
      <w:r w:rsidR="005C0E22">
        <w:rPr>
          <w:sz w:val="22"/>
        </w:rPr>
        <w:t xml:space="preserve">toimintamalleja. </w:t>
      </w:r>
    </w:p>
    <w:p w14:paraId="338DDCA4" w14:textId="77777777" w:rsidR="009A617B" w:rsidRDefault="009A617B" w:rsidP="00EF22C8">
      <w:pPr>
        <w:spacing w:line="276" w:lineRule="auto"/>
        <w:jc w:val="both"/>
        <w:rPr>
          <w:sz w:val="22"/>
        </w:rPr>
      </w:pPr>
    </w:p>
    <w:p w14:paraId="0B39A008" w14:textId="364C98C7" w:rsidR="00B85DFA" w:rsidRDefault="00674E49" w:rsidP="00EF22C8">
      <w:pPr>
        <w:spacing w:line="276" w:lineRule="auto"/>
        <w:jc w:val="both"/>
        <w:rPr>
          <w:sz w:val="22"/>
        </w:rPr>
      </w:pPr>
      <w:r w:rsidRPr="00EF22C8">
        <w:rPr>
          <w:sz w:val="22"/>
        </w:rPr>
        <w:t xml:space="preserve">Vammaisyleissopimuksen 14 artiklassa turvataan vammaisten henkilöiden oikeus nauttia </w:t>
      </w:r>
      <w:r w:rsidR="00AD0983" w:rsidRPr="00EF22C8">
        <w:rPr>
          <w:sz w:val="22"/>
        </w:rPr>
        <w:t>yhdenvertaisesti muiden kan</w:t>
      </w:r>
      <w:r w:rsidR="00B85DFA" w:rsidRPr="00EF22C8">
        <w:rPr>
          <w:sz w:val="22"/>
        </w:rPr>
        <w:t xml:space="preserve">ssa henkilökohtaisesta </w:t>
      </w:r>
      <w:r w:rsidRPr="00EF22C8">
        <w:rPr>
          <w:sz w:val="22"/>
        </w:rPr>
        <w:t>vapau</w:t>
      </w:r>
      <w:r w:rsidR="00B85DFA" w:rsidRPr="00EF22C8">
        <w:rPr>
          <w:sz w:val="22"/>
        </w:rPr>
        <w:t>desta ja turvallisuudesta. Artikla velvoittaa sopimusosapuolet varmistamaan, etteivät vammaiset henkilöt joudu laittoman tai mielivaltaisen vapaudenriiston kohteeksi. Lisäksi artiklassa todetaan, että mahdollinen vapaudenriisto on tapahduttava lain mukaisesti, eikä vammaisuus missään tapauksessa oikeuta vapaudenriistoon.</w:t>
      </w:r>
    </w:p>
    <w:p w14:paraId="3CBD178B" w14:textId="77777777" w:rsidR="00A46314" w:rsidRDefault="00A46314" w:rsidP="00EF22C8">
      <w:pPr>
        <w:spacing w:line="276" w:lineRule="auto"/>
        <w:jc w:val="both"/>
        <w:rPr>
          <w:sz w:val="22"/>
        </w:rPr>
      </w:pPr>
    </w:p>
    <w:p w14:paraId="0C8EFB69" w14:textId="5CF90A9F" w:rsidR="00997491" w:rsidRDefault="00997491" w:rsidP="00A46314">
      <w:pPr>
        <w:spacing w:line="276" w:lineRule="auto"/>
        <w:jc w:val="both"/>
        <w:rPr>
          <w:sz w:val="22"/>
        </w:rPr>
      </w:pPr>
      <w:r>
        <w:rPr>
          <w:sz w:val="22"/>
        </w:rPr>
        <w:t>Ihmisoikeuskeskus pitää tärkeänä, että lisäpöytäkirjaluonnoksen 11 artiklassa todetaan eksplisiittisesti, ettei vammaisuus itsessään oikeuta tahdonvastaisia toimenpiteitä. Lisäpöytäkirjaluonnoksen 5 artiklassa kuitenkin todetaan, että tahdonvastaiset toimenpiteet (”</w:t>
      </w:r>
      <w:proofErr w:type="spellStart"/>
      <w:r w:rsidRPr="008501AA">
        <w:rPr>
          <w:i/>
          <w:sz w:val="22"/>
        </w:rPr>
        <w:t>involuntary</w:t>
      </w:r>
      <w:proofErr w:type="spellEnd"/>
      <w:r w:rsidRPr="008501AA">
        <w:rPr>
          <w:i/>
          <w:sz w:val="22"/>
        </w:rPr>
        <w:t xml:space="preserve"> </w:t>
      </w:r>
      <w:proofErr w:type="spellStart"/>
      <w:r w:rsidRPr="008501AA">
        <w:rPr>
          <w:i/>
          <w:sz w:val="22"/>
        </w:rPr>
        <w:t>measures</w:t>
      </w:r>
      <w:proofErr w:type="spellEnd"/>
      <w:r>
        <w:rPr>
          <w:sz w:val="22"/>
        </w:rPr>
        <w:t xml:space="preserve">”) voidaan toteuttaa siten kuin </w:t>
      </w:r>
      <w:r w:rsidR="008501AA">
        <w:rPr>
          <w:sz w:val="22"/>
        </w:rPr>
        <w:t>laissa säädetään (</w:t>
      </w:r>
      <w:r>
        <w:rPr>
          <w:sz w:val="22"/>
        </w:rPr>
        <w:t>”</w:t>
      </w:r>
      <w:r w:rsidRPr="008501AA">
        <w:rPr>
          <w:i/>
          <w:sz w:val="22"/>
        </w:rPr>
        <w:t xml:space="preserve">in </w:t>
      </w:r>
      <w:proofErr w:type="spellStart"/>
      <w:r w:rsidRPr="008501AA">
        <w:rPr>
          <w:i/>
          <w:sz w:val="22"/>
        </w:rPr>
        <w:t>conformity</w:t>
      </w:r>
      <w:proofErr w:type="spellEnd"/>
      <w:r w:rsidRPr="008501AA">
        <w:rPr>
          <w:i/>
          <w:sz w:val="22"/>
        </w:rPr>
        <w:t xml:space="preserve"> </w:t>
      </w:r>
      <w:proofErr w:type="spellStart"/>
      <w:r w:rsidRPr="008501AA">
        <w:rPr>
          <w:i/>
          <w:sz w:val="22"/>
        </w:rPr>
        <w:t>with</w:t>
      </w:r>
      <w:proofErr w:type="spellEnd"/>
      <w:r w:rsidRPr="008501AA">
        <w:rPr>
          <w:i/>
          <w:sz w:val="22"/>
        </w:rPr>
        <w:t xml:space="preserve"> </w:t>
      </w:r>
      <w:proofErr w:type="spellStart"/>
      <w:r w:rsidRPr="008501AA">
        <w:rPr>
          <w:i/>
          <w:sz w:val="22"/>
        </w:rPr>
        <w:t>the</w:t>
      </w:r>
      <w:proofErr w:type="spellEnd"/>
      <w:r w:rsidRPr="008501AA">
        <w:rPr>
          <w:i/>
          <w:sz w:val="22"/>
        </w:rPr>
        <w:t xml:space="preserve"> </w:t>
      </w:r>
      <w:proofErr w:type="spellStart"/>
      <w:r w:rsidRPr="008501AA">
        <w:rPr>
          <w:i/>
          <w:sz w:val="22"/>
        </w:rPr>
        <w:t>provisions</w:t>
      </w:r>
      <w:proofErr w:type="spellEnd"/>
      <w:r w:rsidRPr="008501AA">
        <w:rPr>
          <w:i/>
          <w:sz w:val="22"/>
        </w:rPr>
        <w:t xml:space="preserve"> set out in </w:t>
      </w:r>
      <w:proofErr w:type="spellStart"/>
      <w:r w:rsidRPr="008501AA">
        <w:rPr>
          <w:i/>
          <w:sz w:val="22"/>
        </w:rPr>
        <w:t>the</w:t>
      </w:r>
      <w:proofErr w:type="spellEnd"/>
      <w:r w:rsidRPr="008501AA">
        <w:rPr>
          <w:i/>
          <w:sz w:val="22"/>
        </w:rPr>
        <w:t xml:space="preserve"> </w:t>
      </w:r>
      <w:proofErr w:type="spellStart"/>
      <w:r w:rsidRPr="008501AA">
        <w:rPr>
          <w:i/>
          <w:sz w:val="22"/>
        </w:rPr>
        <w:t>law</w:t>
      </w:r>
      <w:proofErr w:type="spellEnd"/>
      <w:r>
        <w:rPr>
          <w:sz w:val="22"/>
        </w:rPr>
        <w:t>”</w:t>
      </w:r>
      <w:r w:rsidR="008501AA">
        <w:rPr>
          <w:sz w:val="22"/>
        </w:rPr>
        <w:t>)</w:t>
      </w:r>
      <w:r>
        <w:rPr>
          <w:sz w:val="22"/>
        </w:rPr>
        <w:t xml:space="preserve">. </w:t>
      </w:r>
      <w:r w:rsidR="008501AA">
        <w:rPr>
          <w:sz w:val="22"/>
        </w:rPr>
        <w:t xml:space="preserve">Ihmisoikeuskeskuksen näkemyksen mukaan tämä ei takaa riittävällä tavalla yksilön oikeusturvaa. </w:t>
      </w:r>
    </w:p>
    <w:p w14:paraId="003D32A8" w14:textId="77777777" w:rsidR="008501AA" w:rsidRDefault="008501AA" w:rsidP="00A46314">
      <w:pPr>
        <w:spacing w:line="276" w:lineRule="auto"/>
        <w:jc w:val="both"/>
        <w:rPr>
          <w:sz w:val="22"/>
        </w:rPr>
      </w:pPr>
    </w:p>
    <w:p w14:paraId="3D3CF1A9" w14:textId="07DDCBC9" w:rsidR="00A46314" w:rsidRDefault="00A46314" w:rsidP="00A46314">
      <w:pPr>
        <w:spacing w:line="276" w:lineRule="auto"/>
        <w:jc w:val="both"/>
        <w:rPr>
          <w:sz w:val="22"/>
        </w:rPr>
      </w:pPr>
      <w:r w:rsidRPr="00EF22C8">
        <w:rPr>
          <w:sz w:val="22"/>
        </w:rPr>
        <w:t>Vammaisyleissopimuksen 17 artikla vahvistaa vammaisten henkilöiden oikeuden ruumiillisen ja henkisen koskemattomuuteen kunnioittamiseen yhdenvertaisesti muiden kanssa.</w:t>
      </w:r>
      <w:r w:rsidR="008501AA">
        <w:rPr>
          <w:sz w:val="22"/>
        </w:rPr>
        <w:t xml:space="preserve"> </w:t>
      </w:r>
    </w:p>
    <w:p w14:paraId="62DFA533" w14:textId="0B0FF010" w:rsidR="008501AA" w:rsidRPr="00FC74A5" w:rsidRDefault="008501AA" w:rsidP="00A46314">
      <w:pPr>
        <w:spacing w:line="276" w:lineRule="auto"/>
        <w:jc w:val="both"/>
        <w:rPr>
          <w:strike/>
          <w:sz w:val="22"/>
        </w:rPr>
      </w:pPr>
    </w:p>
    <w:p w14:paraId="79194275" w14:textId="5473CB9A" w:rsidR="00FC74A5" w:rsidRDefault="008501AA" w:rsidP="00A46314">
      <w:pPr>
        <w:spacing w:line="276" w:lineRule="auto"/>
        <w:jc w:val="both"/>
        <w:rPr>
          <w:sz w:val="22"/>
        </w:rPr>
      </w:pPr>
      <w:r>
        <w:rPr>
          <w:sz w:val="22"/>
        </w:rPr>
        <w:t>Ihmisoikeuskeskuksen näkemyksen mukaan lisäpöytäkirjassa – jos työtä sen parissa jatketaan – on parannettava soveltamisalan määrittelyä. Lisäksi käsitteet kuten ”</w:t>
      </w:r>
      <w:proofErr w:type="spellStart"/>
      <w:r>
        <w:rPr>
          <w:sz w:val="22"/>
        </w:rPr>
        <w:t>representative</w:t>
      </w:r>
      <w:proofErr w:type="spellEnd"/>
      <w:r>
        <w:rPr>
          <w:sz w:val="22"/>
        </w:rPr>
        <w:t>”, ”</w:t>
      </w:r>
      <w:proofErr w:type="spellStart"/>
      <w:r>
        <w:rPr>
          <w:sz w:val="22"/>
        </w:rPr>
        <w:t>capacity</w:t>
      </w:r>
      <w:proofErr w:type="spellEnd"/>
      <w:r>
        <w:rPr>
          <w:sz w:val="22"/>
        </w:rPr>
        <w:t xml:space="preserve"> of </w:t>
      </w:r>
      <w:proofErr w:type="spellStart"/>
      <w:r>
        <w:rPr>
          <w:sz w:val="22"/>
        </w:rPr>
        <w:t>consent</w:t>
      </w:r>
      <w:proofErr w:type="spellEnd"/>
      <w:r>
        <w:rPr>
          <w:sz w:val="22"/>
        </w:rPr>
        <w:t xml:space="preserve">” ja ”person of </w:t>
      </w:r>
      <w:proofErr w:type="spellStart"/>
      <w:r>
        <w:rPr>
          <w:sz w:val="22"/>
        </w:rPr>
        <w:t>trust</w:t>
      </w:r>
      <w:proofErr w:type="spellEnd"/>
      <w:r>
        <w:rPr>
          <w:sz w:val="22"/>
        </w:rPr>
        <w:t>” on määriteltävä nykyistä selkeämmin ottaen huomioon vammaisyleissopimuksen velvoitteet.</w:t>
      </w:r>
      <w:r w:rsidR="005C0E22">
        <w:rPr>
          <w:sz w:val="22"/>
        </w:rPr>
        <w:t xml:space="preserve"> </w:t>
      </w:r>
      <w:r w:rsidR="00FC74A5" w:rsidRPr="00EF22C8">
        <w:rPr>
          <w:sz w:val="22"/>
        </w:rPr>
        <w:t xml:space="preserve">Ihmisoikeuskeskus kiinnittää </w:t>
      </w:r>
      <w:r w:rsidR="005C0E22">
        <w:rPr>
          <w:sz w:val="22"/>
        </w:rPr>
        <w:t xml:space="preserve">lisäksi </w:t>
      </w:r>
      <w:r w:rsidR="00FC74A5" w:rsidRPr="00EF22C8">
        <w:rPr>
          <w:sz w:val="22"/>
        </w:rPr>
        <w:t>huomiota lisäpöytäkirjaluonnoksessa käytettävään käsitteeseen ”</w:t>
      </w:r>
      <w:proofErr w:type="spellStart"/>
      <w:r w:rsidR="00FC74A5" w:rsidRPr="00EF22C8">
        <w:rPr>
          <w:i/>
          <w:sz w:val="22"/>
        </w:rPr>
        <w:t>persons</w:t>
      </w:r>
      <w:proofErr w:type="spellEnd"/>
      <w:r w:rsidR="00FC74A5" w:rsidRPr="00EF22C8">
        <w:rPr>
          <w:i/>
          <w:sz w:val="22"/>
        </w:rPr>
        <w:t xml:space="preserve"> </w:t>
      </w:r>
      <w:proofErr w:type="spellStart"/>
      <w:r w:rsidR="00FC74A5" w:rsidRPr="00EF22C8">
        <w:rPr>
          <w:i/>
          <w:sz w:val="22"/>
        </w:rPr>
        <w:t>with</w:t>
      </w:r>
      <w:proofErr w:type="spellEnd"/>
      <w:r w:rsidR="00FC74A5" w:rsidRPr="00EF22C8">
        <w:rPr>
          <w:i/>
          <w:sz w:val="22"/>
        </w:rPr>
        <w:t xml:space="preserve"> </w:t>
      </w:r>
      <w:proofErr w:type="spellStart"/>
      <w:r w:rsidR="00FC74A5" w:rsidRPr="00EF22C8">
        <w:rPr>
          <w:i/>
          <w:sz w:val="22"/>
        </w:rPr>
        <w:t>mental</w:t>
      </w:r>
      <w:proofErr w:type="spellEnd"/>
      <w:r w:rsidR="00FC74A5" w:rsidRPr="00EF22C8">
        <w:rPr>
          <w:i/>
          <w:sz w:val="22"/>
        </w:rPr>
        <w:t xml:space="preserve"> </w:t>
      </w:r>
      <w:proofErr w:type="spellStart"/>
      <w:r w:rsidR="00FC74A5" w:rsidRPr="00EF22C8">
        <w:rPr>
          <w:i/>
          <w:sz w:val="22"/>
        </w:rPr>
        <w:t>disorders</w:t>
      </w:r>
      <w:proofErr w:type="spellEnd"/>
      <w:r w:rsidR="00FC74A5" w:rsidRPr="00EF22C8">
        <w:rPr>
          <w:sz w:val="22"/>
        </w:rPr>
        <w:t>”</w:t>
      </w:r>
      <w:r w:rsidR="00FC74A5">
        <w:rPr>
          <w:sz w:val="22"/>
        </w:rPr>
        <w:t>. Tämä käsite</w:t>
      </w:r>
      <w:r w:rsidR="00FC74A5" w:rsidRPr="00EF22C8">
        <w:rPr>
          <w:sz w:val="22"/>
        </w:rPr>
        <w:t xml:space="preserve"> heijastaa vammaisuuden diagnoosipohjaista lähestymistapaa ja </w:t>
      </w:r>
      <w:r w:rsidR="00FC74A5">
        <w:rPr>
          <w:sz w:val="22"/>
        </w:rPr>
        <w:t xml:space="preserve">edustaa </w:t>
      </w:r>
      <w:r w:rsidR="00FC74A5" w:rsidRPr="00EF22C8">
        <w:rPr>
          <w:sz w:val="22"/>
        </w:rPr>
        <w:t>vammaisuuden lääketieteellistä mallia. Ihmisoikeusperustaisessa vammaisuuden määrittelyssä on englanninkieleen vakiintumassa käyttöön ”</w:t>
      </w:r>
      <w:proofErr w:type="spellStart"/>
      <w:r w:rsidR="00FC74A5" w:rsidRPr="00EF22C8">
        <w:rPr>
          <w:i/>
          <w:sz w:val="22"/>
        </w:rPr>
        <w:t>persons</w:t>
      </w:r>
      <w:proofErr w:type="spellEnd"/>
      <w:r w:rsidR="00FC74A5" w:rsidRPr="00EF22C8">
        <w:rPr>
          <w:i/>
          <w:sz w:val="22"/>
        </w:rPr>
        <w:t xml:space="preserve"> </w:t>
      </w:r>
      <w:proofErr w:type="spellStart"/>
      <w:r w:rsidR="00FC74A5" w:rsidRPr="00EF22C8">
        <w:rPr>
          <w:i/>
          <w:sz w:val="22"/>
        </w:rPr>
        <w:t>with</w:t>
      </w:r>
      <w:proofErr w:type="spellEnd"/>
      <w:r w:rsidR="00FC74A5" w:rsidRPr="00EF22C8">
        <w:rPr>
          <w:i/>
          <w:sz w:val="22"/>
        </w:rPr>
        <w:t xml:space="preserve"> </w:t>
      </w:r>
      <w:proofErr w:type="spellStart"/>
      <w:r w:rsidR="00FC74A5" w:rsidRPr="00EF22C8">
        <w:rPr>
          <w:i/>
          <w:sz w:val="22"/>
        </w:rPr>
        <w:t>psychosocial</w:t>
      </w:r>
      <w:proofErr w:type="spellEnd"/>
      <w:r w:rsidR="00FC74A5" w:rsidRPr="00EF22C8">
        <w:rPr>
          <w:i/>
          <w:sz w:val="22"/>
        </w:rPr>
        <w:t xml:space="preserve"> </w:t>
      </w:r>
      <w:proofErr w:type="spellStart"/>
      <w:r w:rsidR="00FC74A5" w:rsidRPr="00EF22C8">
        <w:rPr>
          <w:i/>
          <w:sz w:val="22"/>
        </w:rPr>
        <w:t>disabilities</w:t>
      </w:r>
      <w:proofErr w:type="spellEnd"/>
      <w:r w:rsidR="00FC74A5" w:rsidRPr="00EF22C8">
        <w:rPr>
          <w:sz w:val="22"/>
        </w:rPr>
        <w:t>”, jo</w:t>
      </w:r>
      <w:r w:rsidR="00FC74A5">
        <w:rPr>
          <w:sz w:val="22"/>
        </w:rPr>
        <w:t xml:space="preserve">hon tulisi siirtyä myös </w:t>
      </w:r>
      <w:r w:rsidR="00FC74A5" w:rsidRPr="00EF22C8">
        <w:rPr>
          <w:sz w:val="22"/>
        </w:rPr>
        <w:t>lisäpöytäkirjassa</w:t>
      </w:r>
    </w:p>
    <w:p w14:paraId="660FA2C7" w14:textId="77777777" w:rsidR="00515F24" w:rsidRPr="00EF22C8" w:rsidRDefault="00515F24" w:rsidP="00EF22C8">
      <w:pPr>
        <w:spacing w:line="276" w:lineRule="auto"/>
        <w:jc w:val="both"/>
        <w:rPr>
          <w:sz w:val="22"/>
        </w:rPr>
      </w:pPr>
    </w:p>
    <w:p w14:paraId="6520AF4E" w14:textId="509DA0C8" w:rsidR="00515313" w:rsidRDefault="00515313" w:rsidP="00EF22C8">
      <w:pPr>
        <w:spacing w:line="276" w:lineRule="auto"/>
        <w:jc w:val="both"/>
        <w:rPr>
          <w:sz w:val="22"/>
        </w:rPr>
      </w:pPr>
      <w:r w:rsidRPr="00EF22C8">
        <w:rPr>
          <w:sz w:val="22"/>
        </w:rPr>
        <w:t xml:space="preserve">Vammaisyleissopimuksen 25 artikla velvoittaa sopimusosapuolia </w:t>
      </w:r>
      <w:r w:rsidR="00A46314">
        <w:rPr>
          <w:sz w:val="22"/>
        </w:rPr>
        <w:t xml:space="preserve">tarjoamaan vammaisille henkilöille </w:t>
      </w:r>
      <w:r w:rsidR="00073E00">
        <w:rPr>
          <w:sz w:val="22"/>
        </w:rPr>
        <w:t xml:space="preserve">terveydenhoitoa heidän suostumuksensa perusteella. </w:t>
      </w:r>
      <w:r w:rsidRPr="00EF22C8">
        <w:rPr>
          <w:sz w:val="22"/>
        </w:rPr>
        <w:t xml:space="preserve">Terveydenhuoltohenkilökunta on velvollinen varmistamaan, että </w:t>
      </w:r>
      <w:r w:rsidR="002312CB" w:rsidRPr="00EF22C8">
        <w:rPr>
          <w:sz w:val="22"/>
        </w:rPr>
        <w:t>hoito</w:t>
      </w:r>
      <w:r w:rsidRPr="00EF22C8">
        <w:rPr>
          <w:sz w:val="22"/>
        </w:rPr>
        <w:t xml:space="preserve">toimenpiteeseen on saatu vammaisen henkilön suostumus aina ennen kyseisen </w:t>
      </w:r>
      <w:r w:rsidR="0072322F" w:rsidRPr="00EF22C8">
        <w:rPr>
          <w:sz w:val="22"/>
        </w:rPr>
        <w:t>hoito</w:t>
      </w:r>
      <w:r w:rsidRPr="00EF22C8">
        <w:rPr>
          <w:sz w:val="22"/>
        </w:rPr>
        <w:t xml:space="preserve">toimenpiteen toteuttamista. </w:t>
      </w:r>
      <w:r w:rsidR="002312CB" w:rsidRPr="00EF22C8">
        <w:rPr>
          <w:sz w:val="22"/>
        </w:rPr>
        <w:t>S</w:t>
      </w:r>
      <w:r w:rsidR="0072322F" w:rsidRPr="00EF22C8">
        <w:rPr>
          <w:sz w:val="22"/>
        </w:rPr>
        <w:t xml:space="preserve">uostumuksen kunnioittaminen tarkoittaa sitä, että yksilöt voivat kieltäytyä hoitotoimenpiteestä myös tilanteessa, jossa on perusteita </w:t>
      </w:r>
      <w:r w:rsidR="002312CB" w:rsidRPr="00EF22C8">
        <w:rPr>
          <w:sz w:val="22"/>
        </w:rPr>
        <w:t>arvioida, että toimenpide olisi kyseiselle yksikölle hyväksi.</w:t>
      </w:r>
    </w:p>
    <w:p w14:paraId="4A2E0766" w14:textId="4056038A" w:rsidR="00B907AE" w:rsidRDefault="00B907AE" w:rsidP="00EF22C8">
      <w:pPr>
        <w:spacing w:line="276" w:lineRule="auto"/>
        <w:jc w:val="both"/>
        <w:rPr>
          <w:sz w:val="22"/>
        </w:rPr>
      </w:pPr>
    </w:p>
    <w:p w14:paraId="3ED29BD3" w14:textId="50857384" w:rsidR="00B907AE" w:rsidRPr="00EF22C8" w:rsidRDefault="00B907AE" w:rsidP="00EF22C8">
      <w:pPr>
        <w:spacing w:line="276" w:lineRule="auto"/>
        <w:jc w:val="both"/>
        <w:rPr>
          <w:sz w:val="22"/>
        </w:rPr>
      </w:pPr>
      <w:r>
        <w:rPr>
          <w:sz w:val="22"/>
        </w:rPr>
        <w:t>Edelliseen viitaten Ihmisoikeuskeskus toteaa, että lisäpöytäkirjaluonnoksen mahdollistamat tahdonvastaiset toimenpiteet kieltäisivät oikeuden suostumukseen perustuvaan hoitoon lisäpöytäkirjassa tarkoitetulta vammaryhmältä.</w:t>
      </w:r>
    </w:p>
    <w:p w14:paraId="127944E6" w14:textId="0C9E1F3A" w:rsidR="002312CB" w:rsidRPr="00EF22C8" w:rsidRDefault="008501AA" w:rsidP="00983905">
      <w:pPr>
        <w:pStyle w:val="Otsikko2"/>
        <w:rPr>
          <w:b w:val="0"/>
          <w:sz w:val="22"/>
          <w:szCs w:val="22"/>
        </w:rPr>
      </w:pPr>
      <w:r>
        <w:rPr>
          <w:b w:val="0"/>
          <w:sz w:val="22"/>
          <w:szCs w:val="22"/>
        </w:rPr>
        <w:t xml:space="preserve">Muita huomioita </w:t>
      </w:r>
      <w:r w:rsidR="00983905" w:rsidRPr="00EF22C8">
        <w:rPr>
          <w:b w:val="0"/>
          <w:sz w:val="22"/>
          <w:szCs w:val="22"/>
        </w:rPr>
        <w:t>lisäpöytäkirjaluonnoksesta</w:t>
      </w:r>
    </w:p>
    <w:p w14:paraId="5154DFDB" w14:textId="77777777" w:rsidR="001673FF" w:rsidRPr="00EF22C8" w:rsidRDefault="001673FF" w:rsidP="00073E00">
      <w:pPr>
        <w:spacing w:line="276" w:lineRule="auto"/>
        <w:jc w:val="both"/>
        <w:rPr>
          <w:sz w:val="22"/>
        </w:rPr>
      </w:pPr>
    </w:p>
    <w:p w14:paraId="401CB486" w14:textId="77777777" w:rsidR="002266EF" w:rsidRPr="00EF22C8" w:rsidRDefault="001673FF" w:rsidP="00073E00">
      <w:pPr>
        <w:spacing w:line="276" w:lineRule="auto"/>
        <w:jc w:val="both"/>
        <w:rPr>
          <w:sz w:val="22"/>
        </w:rPr>
      </w:pPr>
      <w:r w:rsidRPr="00EF22C8">
        <w:rPr>
          <w:sz w:val="22"/>
        </w:rPr>
        <w:t xml:space="preserve">Ihmisoikeuskeskuksen näkemyksen mukaan </w:t>
      </w:r>
      <w:r w:rsidR="002312CB" w:rsidRPr="00EF22C8">
        <w:rPr>
          <w:sz w:val="22"/>
        </w:rPr>
        <w:t>lisäpöytäkirjaluonnoksessa on merkittäviä ongelmia suhteessa YK:n vammaisyleissopimukseen</w:t>
      </w:r>
      <w:r w:rsidR="002266EF" w:rsidRPr="00EF22C8">
        <w:rPr>
          <w:sz w:val="22"/>
        </w:rPr>
        <w:t xml:space="preserve">, jotka on otettava huomioon lisäpöytäkirjan jatkotyöstämisessä. </w:t>
      </w:r>
    </w:p>
    <w:p w14:paraId="28464E2D" w14:textId="77777777" w:rsidR="002266EF" w:rsidRPr="00EF22C8" w:rsidRDefault="002266EF" w:rsidP="00073E00">
      <w:pPr>
        <w:spacing w:line="276" w:lineRule="auto"/>
        <w:jc w:val="both"/>
        <w:rPr>
          <w:sz w:val="22"/>
        </w:rPr>
      </w:pPr>
    </w:p>
    <w:p w14:paraId="2C31D17E" w14:textId="4C2528C2" w:rsidR="002266EF" w:rsidRDefault="002266EF" w:rsidP="00073E00">
      <w:pPr>
        <w:spacing w:line="276" w:lineRule="auto"/>
        <w:jc w:val="both"/>
        <w:rPr>
          <w:sz w:val="22"/>
        </w:rPr>
      </w:pPr>
      <w:r w:rsidRPr="00EF22C8">
        <w:rPr>
          <w:sz w:val="22"/>
        </w:rPr>
        <w:t xml:space="preserve">Yleisellä tasolla Ihmisoikeuskeskus toteaa, että lisäpöytäkirjaan nyt tehdyt muutosehdotukset ovat oikeansuuntaisia ja </w:t>
      </w:r>
      <w:r w:rsidR="00073E00">
        <w:rPr>
          <w:sz w:val="22"/>
        </w:rPr>
        <w:t xml:space="preserve">vievät </w:t>
      </w:r>
      <w:r w:rsidRPr="00EF22C8">
        <w:rPr>
          <w:sz w:val="22"/>
        </w:rPr>
        <w:t xml:space="preserve">osaltaan valmistelua oikeaan suuntaan. </w:t>
      </w:r>
      <w:r w:rsidR="00AC799E" w:rsidRPr="00EF22C8">
        <w:rPr>
          <w:sz w:val="22"/>
        </w:rPr>
        <w:t>Nykyisellään mu</w:t>
      </w:r>
      <w:r w:rsidRPr="00EF22C8">
        <w:rPr>
          <w:sz w:val="22"/>
        </w:rPr>
        <w:t xml:space="preserve">utosehdotukset eivät </w:t>
      </w:r>
      <w:r w:rsidR="00073E00">
        <w:rPr>
          <w:sz w:val="22"/>
        </w:rPr>
        <w:t xml:space="preserve">kuitenkaan </w:t>
      </w:r>
      <w:r w:rsidRPr="00EF22C8">
        <w:rPr>
          <w:sz w:val="22"/>
        </w:rPr>
        <w:t xml:space="preserve">pysty ratkaisemaan edellä </w:t>
      </w:r>
      <w:r w:rsidR="00AC799E" w:rsidRPr="00EF22C8">
        <w:rPr>
          <w:sz w:val="22"/>
        </w:rPr>
        <w:t xml:space="preserve">esiin nostettuja </w:t>
      </w:r>
      <w:r w:rsidRPr="00EF22C8">
        <w:rPr>
          <w:sz w:val="22"/>
        </w:rPr>
        <w:t xml:space="preserve">ongelmia suhteessa </w:t>
      </w:r>
      <w:r w:rsidR="00073E00">
        <w:rPr>
          <w:sz w:val="22"/>
        </w:rPr>
        <w:t xml:space="preserve">YK:n </w:t>
      </w:r>
      <w:r w:rsidRPr="00EF22C8">
        <w:rPr>
          <w:sz w:val="22"/>
        </w:rPr>
        <w:t>vammaisyleissopimukseen.</w:t>
      </w:r>
    </w:p>
    <w:p w14:paraId="62C1A806" w14:textId="77777777" w:rsidR="005C0E22" w:rsidRDefault="005C0E22" w:rsidP="00073E00">
      <w:pPr>
        <w:spacing w:line="276" w:lineRule="auto"/>
        <w:jc w:val="both"/>
        <w:rPr>
          <w:strike/>
          <w:sz w:val="22"/>
        </w:rPr>
      </w:pPr>
    </w:p>
    <w:p w14:paraId="10599471" w14:textId="54191EDB" w:rsidR="00F43420" w:rsidRDefault="00AC799E" w:rsidP="00073E00">
      <w:pPr>
        <w:spacing w:line="276" w:lineRule="auto"/>
        <w:jc w:val="both"/>
        <w:rPr>
          <w:sz w:val="22"/>
        </w:rPr>
      </w:pPr>
      <w:r w:rsidRPr="00EF22C8">
        <w:rPr>
          <w:sz w:val="22"/>
        </w:rPr>
        <w:t xml:space="preserve">Lisäpöytäkirjaluonnoksen yhtenä merkittävänä puutteena </w:t>
      </w:r>
      <w:r w:rsidR="006510C2" w:rsidRPr="00EF22C8">
        <w:rPr>
          <w:sz w:val="22"/>
        </w:rPr>
        <w:t xml:space="preserve">Ihmisoikeuskeskus </w:t>
      </w:r>
      <w:r w:rsidR="00073E00">
        <w:rPr>
          <w:sz w:val="22"/>
        </w:rPr>
        <w:t xml:space="preserve">haluaa </w:t>
      </w:r>
      <w:r w:rsidR="006510C2" w:rsidRPr="00EF22C8">
        <w:rPr>
          <w:sz w:val="22"/>
        </w:rPr>
        <w:t xml:space="preserve">nostaa </w:t>
      </w:r>
      <w:r w:rsidR="00F43420" w:rsidRPr="00EF22C8">
        <w:rPr>
          <w:sz w:val="22"/>
        </w:rPr>
        <w:t xml:space="preserve">esiin </w:t>
      </w:r>
      <w:r w:rsidR="006510C2" w:rsidRPr="00EF22C8">
        <w:rPr>
          <w:sz w:val="22"/>
        </w:rPr>
        <w:t xml:space="preserve">sen, ettei </w:t>
      </w:r>
      <w:r w:rsidRPr="00EF22C8">
        <w:rPr>
          <w:sz w:val="22"/>
        </w:rPr>
        <w:t>s</w:t>
      </w:r>
      <w:r w:rsidR="00073E00">
        <w:rPr>
          <w:sz w:val="22"/>
        </w:rPr>
        <w:t xml:space="preserve">iinä ole omaa </w:t>
      </w:r>
      <w:r w:rsidRPr="00EF22C8">
        <w:rPr>
          <w:sz w:val="22"/>
        </w:rPr>
        <w:t>artiklaa</w:t>
      </w:r>
      <w:r w:rsidR="006510C2" w:rsidRPr="00EF22C8">
        <w:rPr>
          <w:sz w:val="22"/>
        </w:rPr>
        <w:t>, jossa käsiteltäisiin, miten ja minkäla</w:t>
      </w:r>
      <w:r w:rsidR="00F43420" w:rsidRPr="00EF22C8">
        <w:rPr>
          <w:sz w:val="22"/>
        </w:rPr>
        <w:t xml:space="preserve">isin toimenpitein tahdonvastaisten toimenpiteiden (artikla 11) ja siihen mahdollisesti sisältyvien muiden rajoitustoimenpiteiden (artikla 17) kohteena olevan henkilön itsemääräämisoikeutta pyritään vahvistamaan. </w:t>
      </w:r>
    </w:p>
    <w:p w14:paraId="10B1675C" w14:textId="75CCC283" w:rsidR="00B907AE" w:rsidRDefault="00B907AE" w:rsidP="00073E00">
      <w:pPr>
        <w:spacing w:line="276" w:lineRule="auto"/>
        <w:jc w:val="both"/>
        <w:rPr>
          <w:sz w:val="22"/>
        </w:rPr>
      </w:pPr>
    </w:p>
    <w:p w14:paraId="1476F875" w14:textId="77777777" w:rsidR="003A70BA" w:rsidRDefault="00B907AE" w:rsidP="003A70BA">
      <w:pPr>
        <w:spacing w:line="276" w:lineRule="auto"/>
        <w:jc w:val="both"/>
        <w:rPr>
          <w:sz w:val="22"/>
        </w:rPr>
      </w:pPr>
      <w:r>
        <w:rPr>
          <w:sz w:val="22"/>
        </w:rPr>
        <w:t xml:space="preserve">Tässä yhteydessä ihmisoikeuskeskus viittaa kidutuksen vastaisen komitean (CPT) julkaisemaan ohjeistukseen liittyen </w:t>
      </w:r>
      <w:r w:rsidR="003A70BA">
        <w:rPr>
          <w:sz w:val="22"/>
        </w:rPr>
        <w:t>rajoitustoimenpiteiden käyttöön (korostus lisätty):</w:t>
      </w:r>
      <w:r>
        <w:rPr>
          <w:sz w:val="22"/>
        </w:rPr>
        <w:t xml:space="preserve"> </w:t>
      </w:r>
    </w:p>
    <w:p w14:paraId="5AB55EB1" w14:textId="77777777" w:rsidR="003A70BA" w:rsidRDefault="003A70BA" w:rsidP="003A70BA">
      <w:pPr>
        <w:spacing w:line="276" w:lineRule="auto"/>
        <w:jc w:val="both"/>
        <w:rPr>
          <w:sz w:val="22"/>
        </w:rPr>
      </w:pPr>
    </w:p>
    <w:p w14:paraId="691ECFC6" w14:textId="5FE12598" w:rsidR="00073E00" w:rsidRDefault="003A70BA" w:rsidP="00073E00">
      <w:pPr>
        <w:spacing w:line="276" w:lineRule="auto"/>
        <w:jc w:val="both"/>
        <w:rPr>
          <w:sz w:val="22"/>
        </w:rPr>
      </w:pPr>
      <w:r>
        <w:rPr>
          <w:lang w:val="en-US"/>
        </w:rPr>
        <w:t>“</w:t>
      </w:r>
      <w:r w:rsidR="00AC799E" w:rsidRPr="003A70BA">
        <w:rPr>
          <w:i/>
          <w:lang w:val="en-US"/>
        </w:rPr>
        <w:t xml:space="preserve">Every psychiatric establishment should have a comprehensive, carefully developed policy on restraint. The involvement and support of both staff and management in elaborating the policy is essential. Such a policy </w:t>
      </w:r>
      <w:r w:rsidR="00AC799E" w:rsidRPr="003A70BA">
        <w:rPr>
          <w:b/>
          <w:i/>
          <w:lang w:val="en-US"/>
        </w:rPr>
        <w:t>should be aimed at preventing as far as possible the resort to means of restraint</w:t>
      </w:r>
      <w:r w:rsidR="00AC799E" w:rsidRPr="003A70BA">
        <w:rPr>
          <w:i/>
          <w:lang w:val="en-US"/>
        </w:rPr>
        <w:t xml:space="preserve"> and should make clear which means of restraint may be used, under what circumstances they may be applied, the practical means of their application, the supervision required and the action to be taken once the measure is terminated. The policy should also contain sections on other important issues such </w:t>
      </w:r>
      <w:proofErr w:type="gramStart"/>
      <w:r w:rsidR="00AC799E" w:rsidRPr="003A70BA">
        <w:rPr>
          <w:i/>
          <w:lang w:val="en-US"/>
        </w:rPr>
        <w:t>as:</w:t>
      </w:r>
      <w:proofErr w:type="gramEnd"/>
      <w:r w:rsidR="00AC799E" w:rsidRPr="003A70BA">
        <w:rPr>
          <w:i/>
          <w:lang w:val="en-US"/>
        </w:rPr>
        <w:t xml:space="preserve"> staff training; recording; internal and external reporting mechanisms; debriefing; and complaints procedures. Further, patients should be provided with relevant information on the establishment’s restraint policy</w:t>
      </w:r>
      <w:r w:rsidR="00AC799E" w:rsidRPr="003A70BA">
        <w:rPr>
          <w:lang w:val="en-US"/>
        </w:rPr>
        <w:t>.</w:t>
      </w:r>
      <w:r>
        <w:rPr>
          <w:lang w:val="en-US"/>
        </w:rPr>
        <w:t>”</w:t>
      </w:r>
      <w:r>
        <w:rPr>
          <w:rStyle w:val="Alaviitteenviite"/>
          <w:lang w:val="en-US"/>
        </w:rPr>
        <w:footnoteReference w:id="2"/>
      </w:r>
    </w:p>
    <w:p w14:paraId="256114BB" w14:textId="6FF33961" w:rsidR="003A70BA" w:rsidRPr="003A70BA" w:rsidRDefault="003A70BA" w:rsidP="003A70BA">
      <w:pPr>
        <w:pStyle w:val="Otsikko2"/>
        <w:rPr>
          <w:b w:val="0"/>
          <w:sz w:val="22"/>
          <w:szCs w:val="22"/>
        </w:rPr>
      </w:pPr>
      <w:r w:rsidRPr="003A70BA">
        <w:rPr>
          <w:b w:val="0"/>
          <w:sz w:val="22"/>
          <w:szCs w:val="22"/>
        </w:rPr>
        <w:t>Lopuksi</w:t>
      </w:r>
    </w:p>
    <w:p w14:paraId="60ED3D9D" w14:textId="77777777" w:rsidR="003A70BA" w:rsidRDefault="003A70BA" w:rsidP="00B907AE">
      <w:pPr>
        <w:spacing w:line="276" w:lineRule="auto"/>
        <w:jc w:val="both"/>
        <w:rPr>
          <w:sz w:val="22"/>
        </w:rPr>
      </w:pPr>
    </w:p>
    <w:p w14:paraId="7D120F50" w14:textId="0CB8B76A" w:rsidR="00B907AE" w:rsidRDefault="001666A4" w:rsidP="00B907AE">
      <w:pPr>
        <w:spacing w:line="276" w:lineRule="auto"/>
        <w:jc w:val="both"/>
        <w:rPr>
          <w:sz w:val="22"/>
        </w:rPr>
      </w:pPr>
      <w:r>
        <w:rPr>
          <w:sz w:val="22"/>
        </w:rPr>
        <w:t xml:space="preserve">Ottaen huomioon edellä esitetty Ihmisoikeuskeskus pitää tärkeänä, että Euroopan neuvoston tasolla arvioidaan edelleen, miten lisäpöytäkirjan mahdollinen hyväksyminen tulisi vaikuttamaan tahdonvastaisen hoidon käyttöön erityisesti sellaisissa maissa, joissa tähän liittyy eniten ongelmia. </w:t>
      </w:r>
      <w:r w:rsidR="007264E5">
        <w:rPr>
          <w:sz w:val="22"/>
        </w:rPr>
        <w:t xml:space="preserve">Jatkotyössä on selkeytettävä, miten lisäpöytäkirja täyttää YK:n vammaisyleissopimuksen velvoitteet ja mitä riskejä sisältyisi lisäpöytäkirjan hyväksymiseen, jos sen sisältö on ristiriidassa kyseisten velvoitteiden kanssa. Näitä kysymyksiä ei voi ohittaa. </w:t>
      </w:r>
    </w:p>
    <w:p w14:paraId="1D486DAE" w14:textId="77777777" w:rsidR="00B907AE" w:rsidRDefault="00B907AE" w:rsidP="00B907AE">
      <w:pPr>
        <w:spacing w:line="276" w:lineRule="auto"/>
        <w:jc w:val="both"/>
        <w:rPr>
          <w:sz w:val="22"/>
        </w:rPr>
      </w:pPr>
    </w:p>
    <w:p w14:paraId="52253808" w14:textId="0D48BADA" w:rsidR="007264E5" w:rsidRPr="0080427C" w:rsidRDefault="007264E5" w:rsidP="00B907AE">
      <w:pPr>
        <w:spacing w:line="276" w:lineRule="auto"/>
        <w:jc w:val="both"/>
        <w:rPr>
          <w:strike/>
          <w:sz w:val="22"/>
        </w:rPr>
      </w:pPr>
      <w:r>
        <w:rPr>
          <w:color w:val="auto"/>
          <w:sz w:val="22"/>
        </w:rPr>
        <w:t xml:space="preserve">Mikäli lisäpöytäkirjan valmistelua päätetään jatkaa, on se tehtävä tiiviissä </w:t>
      </w:r>
      <w:r>
        <w:rPr>
          <w:color w:val="auto"/>
          <w:sz w:val="22"/>
        </w:rPr>
        <w:lastRenderedPageBreak/>
        <w:t xml:space="preserve">yhteistyössä alan vammaisjärjestöjen ja ihmisoikeustoimijoiden kanssa. </w:t>
      </w:r>
    </w:p>
    <w:p w14:paraId="78E3632B" w14:textId="77777777" w:rsidR="00762C4D" w:rsidRDefault="00762C4D" w:rsidP="001D4C3E">
      <w:pPr>
        <w:rPr>
          <w:sz w:val="22"/>
        </w:rPr>
      </w:pPr>
    </w:p>
    <w:p w14:paraId="466067C6" w14:textId="77777777" w:rsidR="007264E5" w:rsidRDefault="007264E5" w:rsidP="001D4C3E">
      <w:pPr>
        <w:rPr>
          <w:sz w:val="22"/>
        </w:rPr>
      </w:pPr>
    </w:p>
    <w:p w14:paraId="7B79FA35" w14:textId="7ECAAACB" w:rsidR="007264E5" w:rsidRDefault="007264E5" w:rsidP="001D4C3E">
      <w:pPr>
        <w:rPr>
          <w:sz w:val="22"/>
        </w:rPr>
      </w:pPr>
    </w:p>
    <w:p w14:paraId="40072183" w14:textId="285FEE58" w:rsidR="00F72320" w:rsidRDefault="00F72320" w:rsidP="001D4C3E">
      <w:pPr>
        <w:rPr>
          <w:sz w:val="22"/>
        </w:rPr>
      </w:pPr>
      <w:r>
        <w:rPr>
          <w:sz w:val="22"/>
        </w:rPr>
        <w:t>Asiakirja on allekirjoitettu sähköisessä asianhallintajärjestelmässä 22.5.2020.</w:t>
      </w:r>
    </w:p>
    <w:p w14:paraId="1180B6F2" w14:textId="4BE98D27" w:rsidR="00762C4D" w:rsidRDefault="00762C4D" w:rsidP="001D4C3E">
      <w:pPr>
        <w:rPr>
          <w:sz w:val="22"/>
        </w:rPr>
      </w:pPr>
    </w:p>
    <w:p w14:paraId="59D8F3EC" w14:textId="77777777" w:rsidR="00F72320" w:rsidRPr="00EF22C8" w:rsidRDefault="00F72320" w:rsidP="001D4C3E">
      <w:pPr>
        <w:rPr>
          <w:sz w:val="22"/>
        </w:rPr>
      </w:pPr>
      <w:bookmarkStart w:id="0" w:name="_GoBack"/>
      <w:bookmarkEnd w:id="0"/>
    </w:p>
    <w:p w14:paraId="11F726C7" w14:textId="77777777" w:rsidR="006974FA" w:rsidRPr="00EF22C8" w:rsidRDefault="006974FA" w:rsidP="007E285C">
      <w:pPr>
        <w:spacing w:line="276" w:lineRule="auto"/>
        <w:jc w:val="both"/>
        <w:rPr>
          <w:sz w:val="22"/>
        </w:rPr>
      </w:pPr>
    </w:p>
    <w:p w14:paraId="519750FF" w14:textId="013D8590" w:rsidR="00A24839" w:rsidRPr="00EF22C8" w:rsidRDefault="00B012C4" w:rsidP="007E285C">
      <w:pPr>
        <w:spacing w:line="276" w:lineRule="auto"/>
        <w:jc w:val="both"/>
        <w:rPr>
          <w:sz w:val="22"/>
        </w:rPr>
      </w:pPr>
      <w:r w:rsidRPr="00EF22C8">
        <w:rPr>
          <w:sz w:val="22"/>
        </w:rPr>
        <w:tab/>
      </w:r>
      <w:r w:rsidR="0062639C" w:rsidRPr="00EF22C8">
        <w:rPr>
          <w:sz w:val="22"/>
        </w:rPr>
        <w:t>Sirpa Rautio</w:t>
      </w:r>
      <w:r w:rsidR="00A745E7" w:rsidRPr="00EF22C8">
        <w:rPr>
          <w:sz w:val="22"/>
        </w:rPr>
        <w:tab/>
      </w:r>
      <w:r w:rsidR="00A745E7" w:rsidRPr="00EF22C8">
        <w:rPr>
          <w:sz w:val="22"/>
        </w:rPr>
        <w:tab/>
      </w:r>
      <w:r w:rsidR="00A745E7" w:rsidRPr="00EF22C8">
        <w:rPr>
          <w:sz w:val="22"/>
        </w:rPr>
        <w:tab/>
      </w:r>
      <w:r w:rsidR="003A70BA">
        <w:rPr>
          <w:sz w:val="22"/>
        </w:rPr>
        <w:tab/>
        <w:t xml:space="preserve">Mikko Joronen </w:t>
      </w:r>
    </w:p>
    <w:p w14:paraId="350B2306" w14:textId="1B13CDD6" w:rsidR="00B012C4" w:rsidRPr="00EF22C8" w:rsidRDefault="00B012C4" w:rsidP="007E285C">
      <w:pPr>
        <w:spacing w:line="276" w:lineRule="auto"/>
        <w:jc w:val="both"/>
        <w:rPr>
          <w:sz w:val="22"/>
        </w:rPr>
      </w:pPr>
      <w:r w:rsidRPr="00EF22C8">
        <w:rPr>
          <w:sz w:val="22"/>
        </w:rPr>
        <w:tab/>
      </w:r>
      <w:r w:rsidR="0062639C" w:rsidRPr="00EF22C8">
        <w:rPr>
          <w:sz w:val="22"/>
        </w:rPr>
        <w:t>j</w:t>
      </w:r>
      <w:r w:rsidRPr="00EF22C8">
        <w:rPr>
          <w:sz w:val="22"/>
        </w:rPr>
        <w:t>ohtaja</w:t>
      </w:r>
      <w:r w:rsidR="00A745E7" w:rsidRPr="00EF22C8">
        <w:rPr>
          <w:sz w:val="22"/>
        </w:rPr>
        <w:tab/>
      </w:r>
      <w:r w:rsidR="00A745E7" w:rsidRPr="00EF22C8">
        <w:rPr>
          <w:sz w:val="22"/>
        </w:rPr>
        <w:tab/>
      </w:r>
      <w:r w:rsidR="00A745E7" w:rsidRPr="00EF22C8">
        <w:rPr>
          <w:sz w:val="22"/>
        </w:rPr>
        <w:tab/>
      </w:r>
      <w:r w:rsidR="00A745E7" w:rsidRPr="00EF22C8">
        <w:rPr>
          <w:sz w:val="22"/>
        </w:rPr>
        <w:tab/>
      </w:r>
      <w:r w:rsidR="003A70BA">
        <w:rPr>
          <w:sz w:val="22"/>
        </w:rPr>
        <w:tab/>
        <w:t>a</w:t>
      </w:r>
      <w:r w:rsidR="00A745E7" w:rsidRPr="00EF22C8">
        <w:rPr>
          <w:sz w:val="22"/>
        </w:rPr>
        <w:t>siantuntija</w:t>
      </w:r>
    </w:p>
    <w:p w14:paraId="074B7599" w14:textId="77777777" w:rsidR="00B012C4" w:rsidRPr="00EF22C8" w:rsidRDefault="00B012C4" w:rsidP="007E285C">
      <w:pPr>
        <w:spacing w:line="276" w:lineRule="auto"/>
        <w:jc w:val="both"/>
        <w:rPr>
          <w:sz w:val="22"/>
        </w:rPr>
      </w:pPr>
    </w:p>
    <w:p w14:paraId="74EB2EF1" w14:textId="77777777" w:rsidR="00A745E7" w:rsidRPr="00EF22C8" w:rsidRDefault="00A745E7" w:rsidP="007E285C">
      <w:pPr>
        <w:spacing w:line="276" w:lineRule="auto"/>
        <w:jc w:val="both"/>
        <w:rPr>
          <w:sz w:val="22"/>
        </w:rPr>
      </w:pPr>
    </w:p>
    <w:p w14:paraId="4F094096" w14:textId="77777777" w:rsidR="0063085E" w:rsidRPr="00EF22C8" w:rsidRDefault="0063085E" w:rsidP="007E285C">
      <w:pPr>
        <w:spacing w:line="276" w:lineRule="auto"/>
        <w:jc w:val="both"/>
        <w:rPr>
          <w:sz w:val="22"/>
        </w:rPr>
      </w:pPr>
    </w:p>
    <w:sectPr w:rsidR="0063085E" w:rsidRPr="00EF22C8" w:rsidSect="002D0257">
      <w:headerReference w:type="even" r:id="rId12"/>
      <w:headerReference w:type="default" r:id="rId13"/>
      <w:footerReference w:type="even" r:id="rId14"/>
      <w:footerReference w:type="default" r:id="rId15"/>
      <w:headerReference w:type="first" r:id="rId16"/>
      <w:footerReference w:type="first" r:id="rId17"/>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55A9C" w14:textId="77777777" w:rsidR="00B1154E" w:rsidRDefault="00B1154E" w:rsidP="0063085E">
      <w:pPr>
        <w:spacing w:line="240" w:lineRule="auto"/>
      </w:pPr>
      <w:r>
        <w:separator/>
      </w:r>
    </w:p>
  </w:endnote>
  <w:endnote w:type="continuationSeparator" w:id="0">
    <w:p w14:paraId="28B7A341" w14:textId="77777777" w:rsidR="00B1154E" w:rsidRDefault="00B1154E"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CDD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FF1F025"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2608"/>
      <w:docPartObj>
        <w:docPartGallery w:val="Page Numbers (Bottom of Page)"/>
        <w:docPartUnique/>
      </w:docPartObj>
    </w:sdtPr>
    <w:sdtEndPr/>
    <w:sdtContent>
      <w:p w14:paraId="7C23BCC5"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020DBF7E"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55FF" w14:textId="77777777" w:rsidR="00E25552" w:rsidRDefault="006974FA">
    <w:pPr>
      <w:pStyle w:val="Alatunniste"/>
    </w:pPr>
    <w:r>
      <w:rPr>
        <w:noProof/>
        <w:lang w:eastAsia="fi-FI"/>
      </w:rPr>
      <w:drawing>
        <wp:anchor distT="0" distB="0" distL="114300" distR="114300" simplePos="0" relativeHeight="251658240" behindDoc="1" locked="0" layoutInCell="1" allowOverlap="1" wp14:anchorId="56FC5148" wp14:editId="28C7290D">
          <wp:simplePos x="0" y="0"/>
          <wp:positionH relativeFrom="column">
            <wp:posOffset>-1004570</wp:posOffset>
          </wp:positionH>
          <wp:positionV relativeFrom="paragraph">
            <wp:posOffset>-339090</wp:posOffset>
          </wp:positionV>
          <wp:extent cx="5105400" cy="790575"/>
          <wp:effectExtent l="0" t="0" r="0" b="0"/>
          <wp:wrapNone/>
          <wp:docPr id="1" name="Kuva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AA01"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4441" w14:textId="172AFDF8"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F72320">
      <w:rPr>
        <w:rStyle w:val="Sivunumero"/>
        <w:rFonts w:cs="Arial"/>
        <w:noProof/>
        <w:sz w:val="16"/>
        <w:szCs w:val="16"/>
      </w:rPr>
      <w:t>4</w:t>
    </w:r>
    <w:r w:rsidRPr="0063085E">
      <w:rPr>
        <w:rStyle w:val="Sivunumero"/>
        <w:rFonts w:cs="Arial"/>
        <w:sz w:val="16"/>
        <w:szCs w:val="16"/>
      </w:rPr>
      <w:fldChar w:fldCharType="end"/>
    </w:r>
  </w:p>
  <w:p w14:paraId="1455532C"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3B68"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18B38" w14:textId="77777777" w:rsidR="00B1154E" w:rsidRDefault="00B1154E" w:rsidP="0063085E">
      <w:pPr>
        <w:spacing w:line="240" w:lineRule="auto"/>
      </w:pPr>
      <w:r>
        <w:separator/>
      </w:r>
    </w:p>
  </w:footnote>
  <w:footnote w:type="continuationSeparator" w:id="0">
    <w:p w14:paraId="487510C7" w14:textId="77777777" w:rsidR="00B1154E" w:rsidRDefault="00B1154E" w:rsidP="0063085E">
      <w:pPr>
        <w:spacing w:line="240" w:lineRule="auto"/>
      </w:pPr>
      <w:r>
        <w:continuationSeparator/>
      </w:r>
    </w:p>
  </w:footnote>
  <w:footnote w:id="1">
    <w:p w14:paraId="7B7E8ECB" w14:textId="29D8BE89" w:rsidR="00515F24" w:rsidRPr="00625A9A" w:rsidRDefault="00515F24">
      <w:pPr>
        <w:pStyle w:val="Alaviitteenteksti"/>
      </w:pPr>
      <w:r>
        <w:rPr>
          <w:rStyle w:val="Alaviitteenviite"/>
        </w:rPr>
        <w:footnoteRef/>
      </w:r>
      <w:r>
        <w:t xml:space="preserve"> </w:t>
      </w:r>
      <w:proofErr w:type="spellStart"/>
      <w:r w:rsidR="003A70BA">
        <w:t>Vammaisten</w:t>
      </w:r>
      <w:proofErr w:type="spellEnd"/>
      <w:r w:rsidR="003A70BA">
        <w:t xml:space="preserve"> </w:t>
      </w:r>
      <w:proofErr w:type="spellStart"/>
      <w:r w:rsidR="003A70BA">
        <w:t>henkilöiden</w:t>
      </w:r>
      <w:proofErr w:type="spellEnd"/>
      <w:r w:rsidR="003A70BA">
        <w:t xml:space="preserve"> </w:t>
      </w:r>
      <w:proofErr w:type="spellStart"/>
      <w:r w:rsidR="003A70BA">
        <w:t>oikeuksien</w:t>
      </w:r>
      <w:proofErr w:type="spellEnd"/>
      <w:r w:rsidR="003A70BA">
        <w:t xml:space="preserve"> </w:t>
      </w:r>
      <w:proofErr w:type="spellStart"/>
      <w:r w:rsidR="003A70BA">
        <w:t>komitean</w:t>
      </w:r>
      <w:proofErr w:type="spellEnd"/>
      <w:r w:rsidR="003A70BA">
        <w:t xml:space="preserve"> </w:t>
      </w:r>
      <w:proofErr w:type="spellStart"/>
      <w:r w:rsidR="003A70BA">
        <w:t>yleiskommentti</w:t>
      </w:r>
      <w:proofErr w:type="spellEnd"/>
      <w:r w:rsidR="003A70BA">
        <w:t xml:space="preserve"> </w:t>
      </w:r>
      <w:proofErr w:type="spellStart"/>
      <w:r w:rsidR="003A70BA">
        <w:t>nro</w:t>
      </w:r>
      <w:proofErr w:type="spellEnd"/>
      <w:r w:rsidR="003A70BA">
        <w:t xml:space="preserve"> 1 (2104), </w:t>
      </w:r>
      <w:proofErr w:type="spellStart"/>
      <w:r w:rsidR="003A70BA">
        <w:t>artikla</w:t>
      </w:r>
      <w:proofErr w:type="spellEnd"/>
      <w:r w:rsidR="003A70BA">
        <w:t xml:space="preserve"> 12, </w:t>
      </w:r>
      <w:proofErr w:type="spellStart"/>
      <w:r w:rsidR="003A70BA">
        <w:t>yhdenvertaisuus</w:t>
      </w:r>
      <w:proofErr w:type="spellEnd"/>
      <w:r w:rsidR="003A70BA">
        <w:t xml:space="preserve"> lain </w:t>
      </w:r>
      <w:proofErr w:type="spellStart"/>
      <w:r w:rsidR="003A70BA">
        <w:t>edessä</w:t>
      </w:r>
      <w:proofErr w:type="spellEnd"/>
      <w:r w:rsidR="003A70BA">
        <w:t xml:space="preserve">: </w:t>
      </w:r>
      <w:hyperlink r:id="rId1" w:history="1">
        <w:r w:rsidR="003A70BA">
          <w:rPr>
            <w:rStyle w:val="Hyperlinkki"/>
          </w:rPr>
          <w:t>https://www.ihmisoikeuskeskus.fi/@Bin/5996323/CRPD%20komitean%20yleiskommentti%201_FIN.pdf</w:t>
        </w:r>
      </w:hyperlink>
      <w:r w:rsidR="003A70BA">
        <w:t xml:space="preserve"> (22.5.2020).</w:t>
      </w:r>
    </w:p>
  </w:footnote>
  <w:footnote w:id="2">
    <w:p w14:paraId="585ADC40" w14:textId="239CDBD5" w:rsidR="003A70BA" w:rsidRPr="003A70BA" w:rsidRDefault="003A70BA">
      <w:pPr>
        <w:pStyle w:val="Alaviitteenteksti"/>
        <w:rPr>
          <w:lang w:val="fi-FI"/>
        </w:rPr>
      </w:pPr>
      <w:r>
        <w:rPr>
          <w:rStyle w:val="Alaviitteenviite"/>
        </w:rPr>
        <w:footnoteRef/>
      </w:r>
      <w:r>
        <w:t xml:space="preserve"> European Committee for the Prevention of Torture and Inhuman or Degrading Treatment or Punishment (CPT), “</w:t>
      </w:r>
      <w:r w:rsidRPr="003A70BA">
        <w:rPr>
          <w:i/>
        </w:rPr>
        <w:t>Means of restraint in psychiatric establishments for adults</w:t>
      </w:r>
      <w:r>
        <w:t xml:space="preserve">”, </w:t>
      </w:r>
      <w:hyperlink r:id="rId2" w:history="1">
        <w:r>
          <w:rPr>
            <w:rStyle w:val="Hyperlinkki"/>
          </w:rPr>
          <w:t>https://rm.coe.int/16807001c3</w:t>
        </w:r>
      </w:hyperlink>
      <w:r>
        <w:t xml:space="preserve"> (22.5.2020)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A419"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5886BD00" wp14:editId="440D8D8E">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DFF3" w14:textId="77777777" w:rsidR="00EE2440" w:rsidRDefault="00EE244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CBDA" w14:textId="77777777" w:rsidR="00545B33" w:rsidRDefault="00545B33">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09B1"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48B"/>
    <w:multiLevelType w:val="hybridMultilevel"/>
    <w:tmpl w:val="87949E68"/>
    <w:lvl w:ilvl="0" w:tplc="2A1E2366">
      <w:start w:val="18"/>
      <w:numFmt w:val="bullet"/>
      <w:lvlText w:val=""/>
      <w:lvlJc w:val="left"/>
      <w:pPr>
        <w:ind w:left="720" w:hanging="360"/>
      </w:pPr>
      <w:rPr>
        <w:rFonts w:ascii="Wingdings" w:eastAsia="Arial"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D97653"/>
    <w:multiLevelType w:val="hybridMultilevel"/>
    <w:tmpl w:val="DBD06476"/>
    <w:lvl w:ilvl="0" w:tplc="984E6346">
      <w:start w:val="18"/>
      <w:numFmt w:val="bullet"/>
      <w:lvlText w:val=""/>
      <w:lvlJc w:val="left"/>
      <w:pPr>
        <w:ind w:left="720" w:hanging="360"/>
      </w:pPr>
      <w:rPr>
        <w:rFonts w:ascii="Wingdings" w:eastAsia="Arial"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27BDA"/>
    <w:rsid w:val="000357B1"/>
    <w:rsid w:val="000358C2"/>
    <w:rsid w:val="00055C8C"/>
    <w:rsid w:val="00073E00"/>
    <w:rsid w:val="00076B3F"/>
    <w:rsid w:val="000C0BE2"/>
    <w:rsid w:val="000C329D"/>
    <w:rsid w:val="000C3AE5"/>
    <w:rsid w:val="00111720"/>
    <w:rsid w:val="0012620A"/>
    <w:rsid w:val="001616DC"/>
    <w:rsid w:val="00161D6B"/>
    <w:rsid w:val="001666A4"/>
    <w:rsid w:val="001673FF"/>
    <w:rsid w:val="0019780A"/>
    <w:rsid w:val="001D4C3E"/>
    <w:rsid w:val="002266EF"/>
    <w:rsid w:val="002312CB"/>
    <w:rsid w:val="0025096A"/>
    <w:rsid w:val="002533C8"/>
    <w:rsid w:val="00284B4F"/>
    <w:rsid w:val="002B0354"/>
    <w:rsid w:val="002D0257"/>
    <w:rsid w:val="00364B13"/>
    <w:rsid w:val="003A70BA"/>
    <w:rsid w:val="003B4325"/>
    <w:rsid w:val="003F7D3C"/>
    <w:rsid w:val="0042316A"/>
    <w:rsid w:val="00457749"/>
    <w:rsid w:val="004A7FF3"/>
    <w:rsid w:val="004B493E"/>
    <w:rsid w:val="004F47D0"/>
    <w:rsid w:val="00515313"/>
    <w:rsid w:val="00515F24"/>
    <w:rsid w:val="0054423B"/>
    <w:rsid w:val="00545B33"/>
    <w:rsid w:val="00561763"/>
    <w:rsid w:val="005B33B7"/>
    <w:rsid w:val="005B6E45"/>
    <w:rsid w:val="005C0E22"/>
    <w:rsid w:val="005D6C05"/>
    <w:rsid w:val="00620E1F"/>
    <w:rsid w:val="00623004"/>
    <w:rsid w:val="00625A9A"/>
    <w:rsid w:val="0062639C"/>
    <w:rsid w:val="0063085E"/>
    <w:rsid w:val="00647FB9"/>
    <w:rsid w:val="006510C2"/>
    <w:rsid w:val="00657415"/>
    <w:rsid w:val="006746DF"/>
    <w:rsid w:val="00674E49"/>
    <w:rsid w:val="006944B8"/>
    <w:rsid w:val="00694AE8"/>
    <w:rsid w:val="006974FA"/>
    <w:rsid w:val="006B0235"/>
    <w:rsid w:val="006C1591"/>
    <w:rsid w:val="006D13A3"/>
    <w:rsid w:val="006F3863"/>
    <w:rsid w:val="0072322F"/>
    <w:rsid w:val="007264E5"/>
    <w:rsid w:val="00762C4D"/>
    <w:rsid w:val="00782A45"/>
    <w:rsid w:val="007A5AC0"/>
    <w:rsid w:val="007C391E"/>
    <w:rsid w:val="007E285C"/>
    <w:rsid w:val="0080427C"/>
    <w:rsid w:val="008501AA"/>
    <w:rsid w:val="0089204C"/>
    <w:rsid w:val="00892796"/>
    <w:rsid w:val="008A422C"/>
    <w:rsid w:val="008A4F49"/>
    <w:rsid w:val="008A5E78"/>
    <w:rsid w:val="00910316"/>
    <w:rsid w:val="00921342"/>
    <w:rsid w:val="009744AA"/>
    <w:rsid w:val="009836A2"/>
    <w:rsid w:val="00983905"/>
    <w:rsid w:val="00997491"/>
    <w:rsid w:val="009A0275"/>
    <w:rsid w:val="009A1DEE"/>
    <w:rsid w:val="009A617B"/>
    <w:rsid w:val="00A20382"/>
    <w:rsid w:val="00A22934"/>
    <w:rsid w:val="00A24839"/>
    <w:rsid w:val="00A2656C"/>
    <w:rsid w:val="00A46314"/>
    <w:rsid w:val="00A745E7"/>
    <w:rsid w:val="00A86EA0"/>
    <w:rsid w:val="00AB59C4"/>
    <w:rsid w:val="00AC799E"/>
    <w:rsid w:val="00AD0983"/>
    <w:rsid w:val="00B012C4"/>
    <w:rsid w:val="00B1154E"/>
    <w:rsid w:val="00B33D6A"/>
    <w:rsid w:val="00B539AE"/>
    <w:rsid w:val="00B85DFA"/>
    <w:rsid w:val="00B907AE"/>
    <w:rsid w:val="00C3746C"/>
    <w:rsid w:val="00C42CAC"/>
    <w:rsid w:val="00C4338D"/>
    <w:rsid w:val="00C53BA5"/>
    <w:rsid w:val="00C809BF"/>
    <w:rsid w:val="00CD070E"/>
    <w:rsid w:val="00D16CBC"/>
    <w:rsid w:val="00D2249C"/>
    <w:rsid w:val="00D23430"/>
    <w:rsid w:val="00D44F4B"/>
    <w:rsid w:val="00D914F7"/>
    <w:rsid w:val="00DC5824"/>
    <w:rsid w:val="00DE0E58"/>
    <w:rsid w:val="00DE46B1"/>
    <w:rsid w:val="00DE4D02"/>
    <w:rsid w:val="00E10492"/>
    <w:rsid w:val="00E25552"/>
    <w:rsid w:val="00E25895"/>
    <w:rsid w:val="00E3289C"/>
    <w:rsid w:val="00E4363A"/>
    <w:rsid w:val="00E813C7"/>
    <w:rsid w:val="00ED7497"/>
    <w:rsid w:val="00EE2440"/>
    <w:rsid w:val="00EF05C3"/>
    <w:rsid w:val="00EF22C8"/>
    <w:rsid w:val="00F2636A"/>
    <w:rsid w:val="00F43420"/>
    <w:rsid w:val="00F544C4"/>
    <w:rsid w:val="00F72320"/>
    <w:rsid w:val="00F74ADA"/>
    <w:rsid w:val="00F76C69"/>
    <w:rsid w:val="00F9025D"/>
    <w:rsid w:val="00FA0284"/>
    <w:rsid w:val="00FC74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4C34F"/>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styleId="Alaviitteenteksti">
    <w:name w:val="footnote text"/>
    <w:basedOn w:val="Normaali"/>
    <w:link w:val="AlaviitteentekstiChar"/>
    <w:uiPriority w:val="99"/>
    <w:semiHidden/>
    <w:unhideWhenUsed/>
    <w:rsid w:val="00EF05C3"/>
    <w:pPr>
      <w:widowControl/>
      <w:spacing w:line="240" w:lineRule="auto"/>
    </w:pPr>
    <w:rPr>
      <w:rFonts w:asciiTheme="minorHAnsi" w:eastAsiaTheme="minorEastAsia" w:hAnsiTheme="minorHAnsi" w:cstheme="minorBidi"/>
      <w:color w:val="auto"/>
      <w:sz w:val="20"/>
      <w:szCs w:val="20"/>
      <w:lang w:val="en-US" w:eastAsia="fr-FR"/>
    </w:rPr>
  </w:style>
  <w:style w:type="character" w:customStyle="1" w:styleId="AlaviitteentekstiChar">
    <w:name w:val="Alaviitteen teksti Char"/>
    <w:basedOn w:val="Kappaleenoletusfontti"/>
    <w:link w:val="Alaviitteenteksti"/>
    <w:uiPriority w:val="99"/>
    <w:semiHidden/>
    <w:rsid w:val="00EF05C3"/>
    <w:rPr>
      <w:rFonts w:asciiTheme="minorHAnsi" w:eastAsiaTheme="minorEastAsia" w:hAnsiTheme="minorHAnsi" w:cstheme="minorBidi"/>
      <w:lang w:val="en-US" w:eastAsia="fr-FR"/>
    </w:rPr>
  </w:style>
  <w:style w:type="character" w:styleId="Alaviitteenviite">
    <w:name w:val="footnote reference"/>
    <w:basedOn w:val="Kappaleenoletusfontti"/>
    <w:uiPriority w:val="99"/>
    <w:semiHidden/>
    <w:unhideWhenUsed/>
    <w:rsid w:val="00EF05C3"/>
    <w:rPr>
      <w:vertAlign w:val="superscript"/>
    </w:rPr>
  </w:style>
  <w:style w:type="character" w:styleId="Hyperlinkki">
    <w:name w:val="Hyperlink"/>
    <w:basedOn w:val="Kappaleenoletusfontti"/>
    <w:uiPriority w:val="99"/>
    <w:semiHidden/>
    <w:unhideWhenUsed/>
    <w:rsid w:val="00AC799E"/>
    <w:rPr>
      <w:color w:val="0000FF"/>
      <w:u w:val="single"/>
    </w:rPr>
  </w:style>
  <w:style w:type="character" w:styleId="Kommentinviite">
    <w:name w:val="annotation reference"/>
    <w:basedOn w:val="Kappaleenoletusfontti"/>
    <w:uiPriority w:val="99"/>
    <w:semiHidden/>
    <w:unhideWhenUsed/>
    <w:rsid w:val="00625A9A"/>
    <w:rPr>
      <w:sz w:val="16"/>
      <w:szCs w:val="16"/>
    </w:rPr>
  </w:style>
  <w:style w:type="paragraph" w:styleId="Kommentinteksti">
    <w:name w:val="annotation text"/>
    <w:basedOn w:val="Normaali"/>
    <w:link w:val="KommentintekstiChar"/>
    <w:uiPriority w:val="99"/>
    <w:semiHidden/>
    <w:unhideWhenUsed/>
    <w:rsid w:val="00625A9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25A9A"/>
    <w:rPr>
      <w:color w:val="000000"/>
      <w:lang w:eastAsia="en-US"/>
    </w:rPr>
  </w:style>
  <w:style w:type="paragraph" w:styleId="Kommentinotsikko">
    <w:name w:val="annotation subject"/>
    <w:basedOn w:val="Kommentinteksti"/>
    <w:next w:val="Kommentinteksti"/>
    <w:link w:val="KommentinotsikkoChar"/>
    <w:uiPriority w:val="99"/>
    <w:semiHidden/>
    <w:unhideWhenUsed/>
    <w:rsid w:val="00625A9A"/>
    <w:rPr>
      <w:b/>
      <w:bCs/>
    </w:rPr>
  </w:style>
  <w:style w:type="character" w:customStyle="1" w:styleId="KommentinotsikkoChar">
    <w:name w:val="Kommentin otsikko Char"/>
    <w:basedOn w:val="KommentintekstiChar"/>
    <w:link w:val="Kommentinotsikko"/>
    <w:uiPriority w:val="99"/>
    <w:semiHidden/>
    <w:rsid w:val="00625A9A"/>
    <w:rPr>
      <w:b/>
      <w:bCs/>
      <w:color w:val="000000"/>
      <w:lang w:eastAsia="en-US"/>
    </w:rPr>
  </w:style>
  <w:style w:type="character" w:styleId="AvattuHyperlinkki">
    <w:name w:val="FollowedHyperlink"/>
    <w:basedOn w:val="Kappaleenoletusfontti"/>
    <w:uiPriority w:val="99"/>
    <w:semiHidden/>
    <w:unhideWhenUsed/>
    <w:rsid w:val="00B90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915874">
      <w:bodyDiv w:val="1"/>
      <w:marLeft w:val="0"/>
      <w:marRight w:val="0"/>
      <w:marTop w:val="0"/>
      <w:marBottom w:val="0"/>
      <w:divBdr>
        <w:top w:val="none" w:sz="0" w:space="0" w:color="auto"/>
        <w:left w:val="none" w:sz="0" w:space="0" w:color="auto"/>
        <w:bottom w:val="none" w:sz="0" w:space="0" w:color="auto"/>
        <w:right w:val="none" w:sz="0" w:space="0" w:color="auto"/>
      </w:divBdr>
    </w:div>
    <w:div w:id="665136139">
      <w:bodyDiv w:val="1"/>
      <w:marLeft w:val="0"/>
      <w:marRight w:val="0"/>
      <w:marTop w:val="0"/>
      <w:marBottom w:val="0"/>
      <w:divBdr>
        <w:top w:val="none" w:sz="0" w:space="0" w:color="auto"/>
        <w:left w:val="none" w:sz="0" w:space="0" w:color="auto"/>
        <w:bottom w:val="none" w:sz="0" w:space="0" w:color="auto"/>
        <w:right w:val="none" w:sz="0" w:space="0" w:color="auto"/>
      </w:divBdr>
    </w:div>
    <w:div w:id="1445152016">
      <w:bodyDiv w:val="1"/>
      <w:marLeft w:val="0"/>
      <w:marRight w:val="0"/>
      <w:marTop w:val="0"/>
      <w:marBottom w:val="0"/>
      <w:divBdr>
        <w:top w:val="none" w:sz="0" w:space="0" w:color="auto"/>
        <w:left w:val="none" w:sz="0" w:space="0" w:color="auto"/>
        <w:bottom w:val="none" w:sz="0" w:space="0" w:color="auto"/>
        <w:right w:val="none" w:sz="0" w:space="0" w:color="auto"/>
      </w:divBdr>
    </w:div>
    <w:div w:id="1981154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7001c3" TargetMode="External"/><Relationship Id="rId1" Type="http://schemas.openxmlformats.org/officeDocument/2006/relationships/hyperlink" Target="https://www.ihmisoikeuskeskus.fi/@Bin/5996323/CRPD%20komitean%20yleiskommentti%201_FI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BF48-D4EB-4752-A541-96D75399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6436</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Joronen Mikko</cp:lastModifiedBy>
  <cp:revision>3</cp:revision>
  <cp:lastPrinted>2018-02-20T08:17:00Z</cp:lastPrinted>
  <dcterms:created xsi:type="dcterms:W3CDTF">2020-05-22T06:26:00Z</dcterms:created>
  <dcterms:modified xsi:type="dcterms:W3CDTF">2020-05-28T17:14:00Z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