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BA" w:rsidRPr="004222BB" w:rsidRDefault="00DD3107" w:rsidP="00DD3107">
      <w:pPr>
        <w:rPr>
          <w:rFonts w:cs="Arial"/>
          <w:sz w:val="20"/>
          <w:szCs w:val="20"/>
          <w:lang w:val="en-US"/>
        </w:rPr>
      </w:pPr>
      <w:r w:rsidRPr="004222BB">
        <w:rPr>
          <w:rFonts w:cs="Arial"/>
          <w:sz w:val="20"/>
          <w:szCs w:val="20"/>
          <w:lang w:val="en-US"/>
        </w:rPr>
        <w:t>UN General Assembly</w:t>
      </w:r>
      <w:r w:rsidRPr="004222BB">
        <w:rPr>
          <w:rFonts w:cs="Arial"/>
          <w:sz w:val="20"/>
          <w:szCs w:val="20"/>
          <w:lang w:val="en-US"/>
        </w:rPr>
        <w:br/>
        <w:t>Open-ended Working Group on Ageing</w:t>
      </w:r>
      <w:r w:rsidRPr="004222BB">
        <w:rPr>
          <w:rFonts w:cs="Arial"/>
          <w:sz w:val="20"/>
          <w:szCs w:val="20"/>
          <w:lang w:val="en-US"/>
        </w:rPr>
        <w:tab/>
      </w:r>
      <w:r w:rsidR="000C2F5C">
        <w:rPr>
          <w:rFonts w:cs="Arial"/>
          <w:sz w:val="20"/>
          <w:szCs w:val="20"/>
          <w:lang w:val="en-US"/>
        </w:rPr>
        <w:tab/>
      </w:r>
      <w:r w:rsidRPr="004222BB">
        <w:rPr>
          <w:rFonts w:cs="Arial"/>
          <w:sz w:val="20"/>
          <w:szCs w:val="20"/>
          <w:lang w:val="en-US"/>
        </w:rPr>
        <w:t>IOK/46/2019-1</w:t>
      </w:r>
      <w:r w:rsidRPr="004222BB">
        <w:rPr>
          <w:rFonts w:cs="Arial"/>
          <w:sz w:val="20"/>
          <w:szCs w:val="20"/>
          <w:lang w:val="en-US"/>
        </w:rPr>
        <w:tab/>
      </w:r>
      <w:r w:rsidRPr="004222BB">
        <w:rPr>
          <w:rFonts w:cs="Arial"/>
          <w:sz w:val="20"/>
          <w:szCs w:val="20"/>
          <w:lang w:val="en-US"/>
        </w:rPr>
        <w:tab/>
        <w:t>29 October 2019</w:t>
      </w:r>
    </w:p>
    <w:p w:rsidR="00DD3107" w:rsidRPr="004222BB" w:rsidRDefault="00DD3107" w:rsidP="00DD3107">
      <w:pPr>
        <w:rPr>
          <w:rFonts w:cs="Arial"/>
          <w:sz w:val="20"/>
          <w:szCs w:val="20"/>
          <w:lang w:val="en-US"/>
        </w:rPr>
      </w:pPr>
    </w:p>
    <w:p w:rsidR="00DD3107" w:rsidRPr="004222BB" w:rsidRDefault="00DD3107" w:rsidP="00DD3107">
      <w:pPr>
        <w:rPr>
          <w:rFonts w:cs="Arial"/>
          <w:sz w:val="20"/>
          <w:szCs w:val="20"/>
          <w:lang w:val="en-US"/>
        </w:rPr>
      </w:pPr>
    </w:p>
    <w:p w:rsidR="00DD3107" w:rsidRPr="004222BB" w:rsidRDefault="00DD3107" w:rsidP="00DD3107">
      <w:pPr>
        <w:rPr>
          <w:rFonts w:cs="Arial"/>
          <w:sz w:val="20"/>
          <w:szCs w:val="20"/>
          <w:lang w:val="en-US"/>
        </w:rPr>
      </w:pPr>
    </w:p>
    <w:p w:rsidR="00A878A9" w:rsidRPr="004222BB" w:rsidRDefault="00A878A9" w:rsidP="00DD3107">
      <w:pPr>
        <w:rPr>
          <w:rFonts w:cs="Arial"/>
          <w:sz w:val="20"/>
          <w:szCs w:val="20"/>
          <w:lang w:val="en-US"/>
        </w:rPr>
      </w:pPr>
      <w:r w:rsidRPr="004222BB">
        <w:rPr>
          <w:rFonts w:cs="Arial"/>
          <w:sz w:val="20"/>
          <w:szCs w:val="20"/>
          <w:lang w:val="en-US"/>
        </w:rPr>
        <w:t xml:space="preserve">Reference </w:t>
      </w:r>
      <w:r w:rsidRPr="004222BB">
        <w:rPr>
          <w:rFonts w:cs="Arial"/>
          <w:sz w:val="20"/>
          <w:szCs w:val="20"/>
          <w:lang w:val="en-US"/>
        </w:rPr>
        <w:tab/>
        <w:t>Eleventh Session of the UN Open-ended Working Group on Ageing</w:t>
      </w:r>
    </w:p>
    <w:p w:rsidR="00A878A9" w:rsidRPr="004222BB" w:rsidRDefault="00A878A9" w:rsidP="00DD3107">
      <w:pPr>
        <w:rPr>
          <w:rFonts w:cs="Arial"/>
          <w:sz w:val="20"/>
          <w:szCs w:val="20"/>
          <w:lang w:val="en-US"/>
        </w:rPr>
      </w:pPr>
    </w:p>
    <w:p w:rsidR="00A878A9" w:rsidRPr="004222BB" w:rsidRDefault="00A878A9" w:rsidP="00DD3107">
      <w:pPr>
        <w:rPr>
          <w:rFonts w:cs="Arial"/>
          <w:sz w:val="20"/>
          <w:szCs w:val="20"/>
          <w:lang w:val="en-US"/>
        </w:rPr>
      </w:pPr>
      <w:r w:rsidRPr="004222BB">
        <w:rPr>
          <w:rFonts w:cs="Arial"/>
          <w:sz w:val="20"/>
          <w:szCs w:val="20"/>
          <w:lang w:val="en-US"/>
        </w:rPr>
        <w:t>Issue</w:t>
      </w:r>
      <w:r w:rsidRPr="004222BB">
        <w:rPr>
          <w:rFonts w:cs="Arial"/>
          <w:sz w:val="20"/>
          <w:szCs w:val="20"/>
          <w:lang w:val="en-US"/>
        </w:rPr>
        <w:tab/>
      </w:r>
      <w:r w:rsidRPr="004222BB">
        <w:rPr>
          <w:rFonts w:cs="Arial"/>
          <w:sz w:val="20"/>
          <w:szCs w:val="20"/>
          <w:lang w:val="en-US"/>
        </w:rPr>
        <w:tab/>
        <w:t xml:space="preserve">Call for </w:t>
      </w:r>
      <w:r w:rsidR="003D099E">
        <w:rPr>
          <w:rFonts w:cs="Arial"/>
          <w:sz w:val="20"/>
          <w:szCs w:val="20"/>
          <w:lang w:val="en-US"/>
        </w:rPr>
        <w:t>inputs – Finland – 2019 –</w:t>
      </w:r>
      <w:bookmarkStart w:id="0" w:name="_GoBack"/>
      <w:bookmarkEnd w:id="0"/>
      <w:r w:rsidRPr="004222BB">
        <w:rPr>
          <w:rFonts w:cs="Arial"/>
          <w:sz w:val="20"/>
          <w:szCs w:val="20"/>
          <w:lang w:val="en-US"/>
        </w:rPr>
        <w:t xml:space="preserve"> NHRI</w:t>
      </w:r>
      <w:r w:rsidR="004222BB" w:rsidRPr="004222BB">
        <w:rPr>
          <w:rFonts w:cs="Arial"/>
          <w:sz w:val="20"/>
          <w:szCs w:val="20"/>
          <w:lang w:val="en-US"/>
        </w:rPr>
        <w:t xml:space="preserve"> </w:t>
      </w:r>
    </w:p>
    <w:p w:rsidR="00A878A9" w:rsidRPr="004222BB" w:rsidRDefault="00A878A9" w:rsidP="00DD3107">
      <w:pPr>
        <w:rPr>
          <w:rFonts w:cs="Arial"/>
          <w:sz w:val="20"/>
          <w:szCs w:val="20"/>
          <w:lang w:val="en-US"/>
        </w:rPr>
      </w:pPr>
    </w:p>
    <w:p w:rsidR="00A878A9" w:rsidRPr="004222BB" w:rsidRDefault="00A878A9" w:rsidP="00DD3107">
      <w:pPr>
        <w:rPr>
          <w:rFonts w:cs="Arial"/>
          <w:sz w:val="20"/>
          <w:szCs w:val="20"/>
          <w:lang w:val="en-US"/>
        </w:rPr>
      </w:pPr>
    </w:p>
    <w:p w:rsidR="000C2F5C" w:rsidRDefault="00A878A9" w:rsidP="000C2F5C">
      <w:pPr>
        <w:rPr>
          <w:rFonts w:cs="Arial"/>
          <w:sz w:val="20"/>
          <w:szCs w:val="20"/>
          <w:lang w:val="en-US"/>
        </w:rPr>
      </w:pPr>
      <w:proofErr w:type="gramStart"/>
      <w:r w:rsidRPr="004222BB">
        <w:rPr>
          <w:rFonts w:cs="Arial"/>
          <w:sz w:val="20"/>
          <w:szCs w:val="20"/>
          <w:lang w:val="en-US"/>
        </w:rPr>
        <w:t xml:space="preserve">This is the submission </w:t>
      </w:r>
      <w:r w:rsidR="000C2F5C">
        <w:rPr>
          <w:rFonts w:cs="Arial"/>
          <w:sz w:val="20"/>
          <w:szCs w:val="20"/>
          <w:lang w:val="en-US"/>
        </w:rPr>
        <w:t xml:space="preserve">of inputs </w:t>
      </w:r>
      <w:r w:rsidRPr="004222BB">
        <w:rPr>
          <w:rFonts w:cs="Arial"/>
          <w:sz w:val="20"/>
          <w:szCs w:val="20"/>
          <w:lang w:val="en-US"/>
        </w:rPr>
        <w:t>of the Finnish Human Rights Centre (HRC)/NHRI</w:t>
      </w:r>
      <w:r w:rsidR="000C2F5C" w:rsidRPr="000C2F5C">
        <w:rPr>
          <w:rFonts w:cs="Arial"/>
          <w:color w:val="auto"/>
          <w:sz w:val="20"/>
          <w:szCs w:val="20"/>
          <w:lang w:val="en-US" w:eastAsia="fi-FI"/>
        </w:rPr>
        <w:t xml:space="preserve"> </w:t>
      </w:r>
      <w:r w:rsidR="000C2F5C">
        <w:rPr>
          <w:rFonts w:cs="Arial"/>
          <w:color w:val="auto"/>
          <w:sz w:val="20"/>
          <w:szCs w:val="20"/>
          <w:lang w:val="en-US" w:eastAsia="fi-FI"/>
        </w:rPr>
        <w:t>for the t</w:t>
      </w:r>
      <w:r w:rsidR="000C2F5C" w:rsidRPr="000C2F5C">
        <w:rPr>
          <w:rFonts w:cs="Arial"/>
          <w:sz w:val="20"/>
          <w:szCs w:val="20"/>
          <w:lang w:val="en-US"/>
        </w:rPr>
        <w:t xml:space="preserve">hematic focus areas of the eleventh session ("Right to work and access to the </w:t>
      </w:r>
      <w:proofErr w:type="spellStart"/>
      <w:r w:rsidR="000C2F5C" w:rsidRPr="000C2F5C">
        <w:rPr>
          <w:rFonts w:cs="Arial"/>
          <w:sz w:val="20"/>
          <w:szCs w:val="20"/>
          <w:lang w:val="en-US"/>
        </w:rPr>
        <w:t>labour</w:t>
      </w:r>
      <w:proofErr w:type="spellEnd"/>
      <w:r w:rsidR="000C2F5C" w:rsidRPr="000C2F5C">
        <w:rPr>
          <w:rFonts w:cs="Arial"/>
          <w:sz w:val="20"/>
          <w:szCs w:val="20"/>
          <w:lang w:val="en-US"/>
        </w:rPr>
        <w:t xml:space="preserve"> market" and</w:t>
      </w:r>
      <w:r w:rsidR="000C2F5C">
        <w:rPr>
          <w:rFonts w:cs="Arial"/>
          <w:sz w:val="20"/>
          <w:szCs w:val="20"/>
          <w:lang w:val="en-US"/>
        </w:rPr>
        <w:t xml:space="preserve"> "Access to justice") and the n</w:t>
      </w:r>
      <w:r w:rsidR="000C2F5C" w:rsidRPr="000C2F5C">
        <w:rPr>
          <w:rFonts w:cs="Arial"/>
          <w:sz w:val="20"/>
          <w:szCs w:val="20"/>
          <w:lang w:val="en-US"/>
        </w:rPr>
        <w:t>ormative framework for the thematic focus areas discussed at the tenth session ("Education,</w:t>
      </w:r>
      <w:r w:rsidR="000C2F5C">
        <w:rPr>
          <w:rFonts w:cs="Arial"/>
          <w:sz w:val="20"/>
          <w:szCs w:val="20"/>
          <w:lang w:val="en-US"/>
        </w:rPr>
        <w:t xml:space="preserve"> </w:t>
      </w:r>
      <w:r w:rsidR="000C2F5C" w:rsidRPr="000C2F5C">
        <w:rPr>
          <w:rFonts w:cs="Arial"/>
          <w:sz w:val="20"/>
          <w:szCs w:val="20"/>
          <w:lang w:val="en-US"/>
        </w:rPr>
        <w:t>training, life-long learning and capacity building" and "Social protection and social security,</w:t>
      </w:r>
      <w:r w:rsidR="000C2F5C">
        <w:rPr>
          <w:rFonts w:cs="Arial"/>
          <w:sz w:val="20"/>
          <w:szCs w:val="20"/>
          <w:lang w:val="en-US"/>
        </w:rPr>
        <w:t xml:space="preserve"> </w:t>
      </w:r>
      <w:r w:rsidR="000C2F5C" w:rsidRPr="000C2F5C">
        <w:rPr>
          <w:rFonts w:cs="Arial"/>
          <w:sz w:val="20"/>
          <w:szCs w:val="20"/>
          <w:lang w:val="en-US"/>
        </w:rPr>
        <w:t>including social protection floors</w:t>
      </w:r>
      <w:r w:rsidR="000C2F5C">
        <w:rPr>
          <w:rFonts w:cs="Arial"/>
          <w:sz w:val="20"/>
          <w:szCs w:val="20"/>
          <w:lang w:val="en-US"/>
        </w:rPr>
        <w:t>).</w:t>
      </w:r>
      <w:proofErr w:type="gramEnd"/>
    </w:p>
    <w:p w:rsidR="000C2F5C" w:rsidRDefault="000C2F5C" w:rsidP="000C2F5C">
      <w:pPr>
        <w:rPr>
          <w:rFonts w:cs="Arial"/>
          <w:sz w:val="20"/>
          <w:szCs w:val="20"/>
          <w:lang w:val="en-US"/>
        </w:rPr>
      </w:pPr>
    </w:p>
    <w:p w:rsidR="00DD3107" w:rsidRPr="004222BB" w:rsidRDefault="00A878A9" w:rsidP="000C2F5C">
      <w:pPr>
        <w:rPr>
          <w:rFonts w:cs="Arial"/>
          <w:sz w:val="20"/>
          <w:szCs w:val="20"/>
          <w:lang w:val="en-US"/>
        </w:rPr>
      </w:pPr>
      <w:r w:rsidRPr="004222BB">
        <w:rPr>
          <w:rFonts w:cs="Arial"/>
          <w:sz w:val="20"/>
          <w:szCs w:val="20"/>
          <w:lang w:val="en-US"/>
        </w:rPr>
        <w:t>Should you have any questions, feel free to contact us.</w:t>
      </w:r>
    </w:p>
    <w:p w:rsidR="00DD3107" w:rsidRPr="004222BB" w:rsidRDefault="00DD3107" w:rsidP="00DD3107">
      <w:pPr>
        <w:rPr>
          <w:rFonts w:cs="Arial"/>
          <w:sz w:val="20"/>
          <w:szCs w:val="20"/>
          <w:lang w:val="en-US"/>
        </w:rPr>
      </w:pPr>
    </w:p>
    <w:p w:rsidR="00FD7E05" w:rsidRDefault="00FD7E05" w:rsidP="00FD7E05">
      <w:pPr>
        <w:rPr>
          <w:rFonts w:cs="Arial"/>
          <w:sz w:val="20"/>
          <w:szCs w:val="20"/>
          <w:lang w:val="en-US"/>
        </w:rPr>
      </w:pPr>
    </w:p>
    <w:p w:rsidR="00FD7E05" w:rsidRDefault="00FD7E05" w:rsidP="00FD7E05">
      <w:pPr>
        <w:rPr>
          <w:rFonts w:cs="Arial"/>
          <w:sz w:val="20"/>
          <w:szCs w:val="20"/>
          <w:lang w:val="en-US"/>
        </w:rPr>
      </w:pPr>
    </w:p>
    <w:p w:rsidR="00FD7E05" w:rsidRDefault="00FD7E05" w:rsidP="00FD7E05">
      <w:pPr>
        <w:rPr>
          <w:rFonts w:cs="Arial"/>
          <w:sz w:val="20"/>
          <w:szCs w:val="20"/>
          <w:lang w:val="en-US"/>
        </w:rPr>
      </w:pPr>
    </w:p>
    <w:p w:rsidR="00FD7E05" w:rsidRDefault="00FD7E05" w:rsidP="00FD7E05">
      <w:pPr>
        <w:rPr>
          <w:rFonts w:cs="Arial"/>
          <w:sz w:val="20"/>
          <w:szCs w:val="20"/>
          <w:lang w:val="en-US"/>
        </w:rPr>
      </w:pPr>
    </w:p>
    <w:p w:rsidR="00FD7E05" w:rsidRPr="00FD7E05" w:rsidRDefault="00FD7E05" w:rsidP="00FD7E05">
      <w:pPr>
        <w:rPr>
          <w:rFonts w:cs="Arial"/>
          <w:sz w:val="20"/>
          <w:szCs w:val="20"/>
          <w:lang w:val="en-US"/>
        </w:rPr>
      </w:pPr>
      <w:r w:rsidRPr="00FD7E05">
        <w:rPr>
          <w:rFonts w:cs="Arial"/>
          <w:sz w:val="20"/>
          <w:szCs w:val="20"/>
          <w:lang w:val="en-US"/>
        </w:rPr>
        <w:t xml:space="preserve">Sirpa Rautio </w:t>
      </w:r>
      <w:r w:rsidRPr="00FD7E05">
        <w:rPr>
          <w:rFonts w:cs="Arial"/>
          <w:sz w:val="20"/>
          <w:szCs w:val="20"/>
          <w:lang w:val="en-US"/>
        </w:rPr>
        <w:tab/>
      </w:r>
      <w:r w:rsidRPr="00FD7E05">
        <w:rPr>
          <w:rFonts w:cs="Arial"/>
          <w:sz w:val="20"/>
          <w:szCs w:val="20"/>
          <w:lang w:val="en-US"/>
        </w:rPr>
        <w:tab/>
      </w:r>
      <w:r w:rsidRPr="00FD7E05">
        <w:rPr>
          <w:rFonts w:cs="Arial"/>
          <w:sz w:val="20"/>
          <w:szCs w:val="20"/>
          <w:lang w:val="en-US"/>
        </w:rPr>
        <w:tab/>
      </w:r>
      <w:r w:rsidRPr="00FD7E05">
        <w:rPr>
          <w:rFonts w:cs="Arial"/>
          <w:sz w:val="20"/>
          <w:szCs w:val="20"/>
          <w:lang w:val="en-US"/>
        </w:rPr>
        <w:tab/>
      </w:r>
      <w:r w:rsidRPr="00FD7E05">
        <w:rPr>
          <w:rFonts w:cs="Arial"/>
          <w:sz w:val="20"/>
          <w:szCs w:val="20"/>
          <w:lang w:val="en-US"/>
        </w:rPr>
        <w:tab/>
        <w:t>Sanna Ahola</w:t>
      </w:r>
    </w:p>
    <w:p w:rsidR="00FD7E05" w:rsidRPr="00FD7E05" w:rsidRDefault="00FD7E05" w:rsidP="00FD7E05">
      <w:pPr>
        <w:rPr>
          <w:rFonts w:cs="Arial"/>
          <w:sz w:val="20"/>
          <w:szCs w:val="20"/>
          <w:lang w:val="en-US"/>
        </w:rPr>
      </w:pPr>
    </w:p>
    <w:p w:rsidR="00FD7E05" w:rsidRPr="00FD7E05" w:rsidRDefault="00FD7E05" w:rsidP="00FD7E05">
      <w:pPr>
        <w:rPr>
          <w:rFonts w:cs="Arial"/>
          <w:sz w:val="20"/>
          <w:szCs w:val="20"/>
          <w:lang w:val="en-US"/>
        </w:rPr>
      </w:pPr>
      <w:r w:rsidRPr="00FD7E05">
        <w:rPr>
          <w:rFonts w:cs="Arial"/>
          <w:sz w:val="20"/>
          <w:szCs w:val="20"/>
          <w:lang w:val="en-US"/>
        </w:rPr>
        <w:t xml:space="preserve">Director </w:t>
      </w:r>
      <w:r w:rsidRPr="00FD7E05">
        <w:rPr>
          <w:rFonts w:cs="Arial"/>
          <w:sz w:val="20"/>
          <w:szCs w:val="20"/>
          <w:lang w:val="en-US"/>
        </w:rPr>
        <w:tab/>
      </w:r>
      <w:r w:rsidRPr="00FD7E05">
        <w:rPr>
          <w:rFonts w:cs="Arial"/>
          <w:sz w:val="20"/>
          <w:szCs w:val="20"/>
          <w:lang w:val="en-US"/>
        </w:rPr>
        <w:tab/>
      </w:r>
      <w:r w:rsidRPr="00FD7E05">
        <w:rPr>
          <w:rFonts w:cs="Arial"/>
          <w:sz w:val="20"/>
          <w:szCs w:val="20"/>
          <w:lang w:val="en-US"/>
        </w:rPr>
        <w:tab/>
      </w:r>
      <w:r w:rsidRPr="00FD7E05">
        <w:rPr>
          <w:rFonts w:cs="Arial"/>
          <w:sz w:val="20"/>
          <w:szCs w:val="20"/>
          <w:lang w:val="en-US"/>
        </w:rPr>
        <w:tab/>
      </w:r>
      <w:r w:rsidRPr="00FD7E05">
        <w:rPr>
          <w:rFonts w:cs="Arial"/>
          <w:sz w:val="20"/>
          <w:szCs w:val="20"/>
          <w:lang w:val="en-US"/>
        </w:rPr>
        <w:tab/>
        <w:t>Expert</w:t>
      </w:r>
    </w:p>
    <w:p w:rsidR="00FD7E05" w:rsidRPr="00FD7E05" w:rsidRDefault="00FD7E05" w:rsidP="00FD7E05">
      <w:pPr>
        <w:rPr>
          <w:rFonts w:cs="Arial"/>
          <w:sz w:val="20"/>
          <w:szCs w:val="20"/>
          <w:lang w:val="en-US"/>
        </w:rPr>
      </w:pPr>
    </w:p>
    <w:p w:rsidR="00FD7E05" w:rsidRPr="00FD7E05" w:rsidRDefault="00FD7E05" w:rsidP="00FD7E05">
      <w:pPr>
        <w:rPr>
          <w:rFonts w:cs="Arial"/>
          <w:sz w:val="20"/>
          <w:szCs w:val="20"/>
          <w:lang w:val="en-US"/>
        </w:rPr>
      </w:pPr>
    </w:p>
    <w:p w:rsidR="00FD7E05" w:rsidRPr="00FD7E05" w:rsidRDefault="00FD7E05" w:rsidP="00FD7E05">
      <w:pPr>
        <w:rPr>
          <w:rFonts w:cs="Arial"/>
          <w:sz w:val="20"/>
          <w:szCs w:val="20"/>
          <w:lang w:val="en-US"/>
        </w:rPr>
      </w:pPr>
    </w:p>
    <w:p w:rsidR="00FD7E05" w:rsidRPr="00FD7E05" w:rsidRDefault="00FD7E05" w:rsidP="00FD7E05">
      <w:pPr>
        <w:rPr>
          <w:rFonts w:cs="Arial"/>
          <w:sz w:val="20"/>
          <w:szCs w:val="20"/>
          <w:lang w:val="en-US"/>
        </w:rPr>
      </w:pPr>
    </w:p>
    <w:p w:rsidR="00FD7E05" w:rsidRPr="00FD7E05" w:rsidRDefault="00FD7E05" w:rsidP="00FD7E05">
      <w:pPr>
        <w:rPr>
          <w:rFonts w:cs="Arial"/>
          <w:sz w:val="20"/>
          <w:szCs w:val="20"/>
          <w:lang w:val="en-US"/>
        </w:rPr>
      </w:pPr>
    </w:p>
    <w:p w:rsidR="00FD7E05" w:rsidRPr="00FD7E05" w:rsidRDefault="00FD7E05" w:rsidP="00FD7E05">
      <w:pPr>
        <w:rPr>
          <w:rFonts w:cs="Arial"/>
          <w:sz w:val="20"/>
          <w:szCs w:val="20"/>
          <w:lang w:val="en-US"/>
        </w:rPr>
      </w:pPr>
      <w:r w:rsidRPr="00FD7E05">
        <w:rPr>
          <w:rFonts w:cs="Arial"/>
          <w:sz w:val="20"/>
          <w:szCs w:val="20"/>
          <w:lang w:val="en-US"/>
        </w:rPr>
        <w:t xml:space="preserve">This document </w:t>
      </w:r>
      <w:proofErr w:type="gramStart"/>
      <w:r w:rsidRPr="00FD7E05">
        <w:rPr>
          <w:rFonts w:cs="Arial"/>
          <w:sz w:val="20"/>
          <w:szCs w:val="20"/>
          <w:lang w:val="en-US"/>
        </w:rPr>
        <w:t>is electronically approved</w:t>
      </w:r>
      <w:proofErr w:type="gramEnd"/>
      <w:r w:rsidRPr="00FD7E05">
        <w:rPr>
          <w:rFonts w:cs="Arial"/>
          <w:sz w:val="20"/>
          <w:szCs w:val="20"/>
          <w:lang w:val="en-US"/>
        </w:rPr>
        <w:t xml:space="preserve"> and has no signature.</w:t>
      </w:r>
    </w:p>
    <w:p w:rsidR="00FD7E05" w:rsidRPr="00FD7E05" w:rsidRDefault="00FD7E05" w:rsidP="00FD7E05">
      <w:pPr>
        <w:rPr>
          <w:rFonts w:cs="Arial"/>
          <w:sz w:val="20"/>
          <w:szCs w:val="20"/>
          <w:lang w:val="en-US"/>
        </w:rPr>
      </w:pPr>
    </w:p>
    <w:p w:rsidR="00FD7E05" w:rsidRPr="00FD7E05" w:rsidRDefault="00FD7E05" w:rsidP="00FD7E05">
      <w:pPr>
        <w:rPr>
          <w:rFonts w:cs="Arial"/>
          <w:sz w:val="20"/>
          <w:szCs w:val="20"/>
          <w:lang w:val="en-US"/>
        </w:rPr>
      </w:pPr>
    </w:p>
    <w:p w:rsidR="00DD3107" w:rsidRPr="004222BB" w:rsidRDefault="00DD3107" w:rsidP="00DD3107">
      <w:pPr>
        <w:rPr>
          <w:rFonts w:cs="Arial"/>
          <w:sz w:val="20"/>
          <w:szCs w:val="20"/>
          <w:lang w:val="en-US"/>
        </w:rPr>
      </w:pPr>
    </w:p>
    <w:p w:rsidR="00DD3107" w:rsidRPr="004222BB" w:rsidRDefault="00DD3107" w:rsidP="00DD3107">
      <w:pPr>
        <w:rPr>
          <w:rFonts w:cs="Arial"/>
          <w:sz w:val="20"/>
          <w:szCs w:val="20"/>
          <w:lang w:val="en-US"/>
        </w:rPr>
      </w:pPr>
    </w:p>
    <w:p w:rsidR="00271721" w:rsidRPr="004222BB" w:rsidRDefault="00271721" w:rsidP="000918BA">
      <w:pPr>
        <w:rPr>
          <w:rFonts w:cs="Arial"/>
          <w:sz w:val="20"/>
          <w:szCs w:val="20"/>
          <w:lang w:val="en-US"/>
        </w:rPr>
      </w:pPr>
    </w:p>
    <w:p w:rsidR="00271721" w:rsidRPr="004222BB" w:rsidRDefault="00271721" w:rsidP="000918BA">
      <w:pPr>
        <w:rPr>
          <w:rFonts w:cs="Arial"/>
          <w:sz w:val="20"/>
          <w:szCs w:val="20"/>
          <w:lang w:val="en-US"/>
        </w:rPr>
      </w:pPr>
      <w:r w:rsidRPr="004222BB">
        <w:rPr>
          <w:rFonts w:cs="Arial"/>
          <w:noProof/>
          <w:sz w:val="20"/>
          <w:szCs w:val="20"/>
          <w:lang w:eastAsia="fi-FI"/>
        </w:rPr>
        <w:lastRenderedPageBreak/>
        <mc:AlternateContent>
          <mc:Choice Requires="wps">
            <w:drawing>
              <wp:anchor distT="0" distB="0" distL="114300" distR="114300" simplePos="0" relativeHeight="251659264" behindDoc="0" locked="0" layoutInCell="1" allowOverlap="1" wp14:anchorId="761B9B1D" wp14:editId="1C1AA052">
                <wp:simplePos x="0" y="0"/>
                <wp:positionH relativeFrom="column">
                  <wp:posOffset>0</wp:posOffset>
                </wp:positionH>
                <wp:positionV relativeFrom="paragraph">
                  <wp:posOffset>0</wp:posOffset>
                </wp:positionV>
                <wp:extent cx="1828800" cy="1828800"/>
                <wp:effectExtent l="0" t="0" r="0" b="0"/>
                <wp:wrapSquare wrapText="bothSides"/>
                <wp:docPr id="1" name="Tekstiruut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271721" w:rsidRPr="00271721" w:rsidRDefault="00271721" w:rsidP="00271721">
                            <w:pPr>
                              <w:rPr>
                                <w:sz w:val="22"/>
                                <w:lang w:val="en-US"/>
                              </w:rPr>
                            </w:pPr>
                            <w:r w:rsidRPr="00271721">
                              <w:rPr>
                                <w:b/>
                                <w:bCs/>
                                <w:i/>
                                <w:iCs/>
                                <w:sz w:val="22"/>
                                <w:lang w:val="en-US"/>
                              </w:rPr>
                              <w:t>The Finnish Human Rights Center</w:t>
                            </w:r>
                            <w:r w:rsidRPr="00271721">
                              <w:rPr>
                                <w:sz w:val="22"/>
                                <w:lang w:val="en-US"/>
                              </w:rPr>
                              <w:t xml:space="preserve"> (HRC) is an autonomous and independent expert institution whose task is to promote and monitor the implementation of fundamental and human rights in Finland as well as to increase cooperation and exchange of information between various actors in the field. According to its founding legislation, one of the tasks of the HRC is to participate in European and international cooperation related to the promotion and protection of fundamental and human rights. </w:t>
                            </w:r>
                          </w:p>
                          <w:p w:rsidR="00271721" w:rsidRPr="00271721" w:rsidRDefault="00271721" w:rsidP="00271721">
                            <w:pPr>
                              <w:rPr>
                                <w:sz w:val="22"/>
                                <w:lang w:val="en-US"/>
                              </w:rPr>
                            </w:pPr>
                          </w:p>
                          <w:p w:rsidR="00271721" w:rsidRPr="00271721" w:rsidRDefault="00271721" w:rsidP="00271721">
                            <w:pPr>
                              <w:rPr>
                                <w:b/>
                                <w:bCs/>
                                <w:i/>
                                <w:iCs/>
                                <w:sz w:val="22"/>
                                <w:lang w:val="en-US"/>
                              </w:rPr>
                            </w:pPr>
                            <w:r w:rsidRPr="00271721">
                              <w:rPr>
                                <w:b/>
                                <w:bCs/>
                                <w:i/>
                                <w:iCs/>
                                <w:sz w:val="22"/>
                                <w:lang w:val="en-US"/>
                              </w:rPr>
                              <w:t xml:space="preserve">The HRC represents the Finnish NHRI in international NHRI cooperation. The HRC forms the National Human Rights Institution (NHRI), alongside with its pluralistic 39-member Human Rights Delegation and the Parliamentary Ombudsman. </w:t>
                            </w:r>
                          </w:p>
                          <w:p w:rsidR="00271721" w:rsidRPr="00271721" w:rsidRDefault="00271721" w:rsidP="00271721">
                            <w:pPr>
                              <w:rPr>
                                <w:sz w:val="22"/>
                                <w:lang w:val="en-US"/>
                              </w:rPr>
                            </w:pPr>
                          </w:p>
                          <w:p w:rsidR="00271721" w:rsidRPr="00271721" w:rsidRDefault="00271721" w:rsidP="00271721">
                            <w:pPr>
                              <w:rPr>
                                <w:b/>
                                <w:bCs/>
                                <w:sz w:val="22"/>
                                <w:lang w:val="en-US"/>
                              </w:rPr>
                            </w:pPr>
                            <w:r w:rsidRPr="00271721">
                              <w:rPr>
                                <w:sz w:val="22"/>
                                <w:lang w:val="en-US"/>
                              </w:rPr>
                              <w:t xml:space="preserve">The National Human Rights Institution in Finland </w:t>
                            </w:r>
                            <w:proofErr w:type="gramStart"/>
                            <w:r w:rsidRPr="00271721">
                              <w:rPr>
                                <w:sz w:val="22"/>
                                <w:lang w:val="en-US"/>
                              </w:rPr>
                              <w:t>was established</w:t>
                            </w:r>
                            <w:proofErr w:type="gramEnd"/>
                            <w:r w:rsidRPr="00271721">
                              <w:rPr>
                                <w:sz w:val="22"/>
                                <w:lang w:val="en-US"/>
                              </w:rPr>
                              <w:t xml:space="preserve"> by law in 2012, and received </w:t>
                            </w:r>
                            <w:r w:rsidRPr="00271721">
                              <w:rPr>
                                <w:b/>
                                <w:bCs/>
                                <w:sz w:val="22"/>
                                <w:lang w:val="en-US"/>
                              </w:rPr>
                              <w:t xml:space="preserve">A-status in 2014. </w:t>
                            </w:r>
                          </w:p>
                          <w:p w:rsidR="00271721" w:rsidRPr="00271721" w:rsidRDefault="00271721" w:rsidP="00271721">
                            <w:pPr>
                              <w:rPr>
                                <w:b/>
                                <w:bCs/>
                                <w:sz w:val="22"/>
                                <w:lang w:val="en-US"/>
                              </w:rPr>
                            </w:pPr>
                          </w:p>
                          <w:p w:rsidR="00271721" w:rsidRPr="00503CC9" w:rsidRDefault="00271721" w:rsidP="00503CC9">
                            <w:pPr>
                              <w:rPr>
                                <w:b/>
                                <w:bCs/>
                                <w:lang w:val="en-US"/>
                              </w:rPr>
                            </w:pPr>
                            <w:r w:rsidRPr="00271721">
                              <w:rPr>
                                <w:b/>
                                <w:bCs/>
                                <w:sz w:val="22"/>
                                <w:lang w:val="en-US"/>
                              </w:rPr>
                              <w:t>A review of the status is pending.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1B9B1D" id="_x0000_t202" coordsize="21600,21600" o:spt="202" path="m,l,21600r21600,l21600,xe">
                <v:stroke joinstyle="miter"/>
                <v:path gradientshapeok="t" o:connecttype="rect"/>
              </v:shapetype>
              <v:shape id="Tekstiruutu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pEPgIAAHsEAAAOAAAAZHJzL2Uyb0RvYy54bWysVE1v2zAMvQ/YfxB0X+1kbZcZdYqsRYcB&#10;RVsgHXpWZDk2KouCpMTufv2e5Hyh22nYRebHE0Xykb66HjrNtsr5lkzJJ2c5Z8pIqlqzLvnP57tP&#10;M858EKYSmowq+Zvy/Hr+8cNVbws1pYZ0pRxDEOOL3pa8CcEWWeZlozrhz8gqA2dNrhMBqltnlRM9&#10;onc6m+b5ZdaTq6wjqbyH9XZ08nmKX9dKhse69iowXXLkFtLp0rmKZza/EsXaCdu0cpeG+IcsOtEa&#10;PHoIdSuCYBvX/hGqa6UjT3U4k9RlVNetVKkGVDPJ31WzbIRVqRY0x9tDm/z/Cysftk+OtRW448yI&#10;DhQ9q1cfWrfZhA2bxAb11hfALS2QYfhGQwTv7B7GWPdQuy5+URGDH61+O7RXDYHJeGk2nc1yuCR8&#10;ewVxsuN163z4rqhjUSi5A3+prWJ778MI3UPia4buWq1hF4U2rC/55eeLPF3wpNsqOqMvXrnRjm0F&#10;pmClhXyN6ePZExQ0bWCMxY5FRSkMqwHQKK6oekMDHI0z5K28axH3XvjwJByGBoVhEcIjjloTkqGd&#10;xFlD7tff7BEPLuHlrMcQltxgSzjTPww4/jo5P48zm5Tziy9TKO7Uszr1mE13Q6gPPCK3JEZ80Hux&#10;dtS9YFsW8U24hJF4ueRhL96EcTGwbVItFgmEKbUi3JullTH0vpvPw4twdsdSAMEPtB9WUbwja8TG&#10;m94uNgGUJSaPPd11HROeSNltY1yhUz2hjv+M+W8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A2ZRpEPgIAAHsEAAAOAAAAAAAAAAAA&#10;AAAAAC4CAABkcnMvZTJvRG9jLnhtbFBLAQItABQABgAIAAAAIQC3DAMI1wAAAAUBAAAPAAAAAAAA&#10;AAAAAAAAAJgEAABkcnMvZG93bnJldi54bWxQSwUGAAAAAAQABADzAAAAnAUAAAAA&#10;" filled="f" strokeweight=".5pt">
                <v:textbox style="mso-fit-shape-to-text:t">
                  <w:txbxContent>
                    <w:p w:rsidR="00271721" w:rsidRPr="00271721" w:rsidRDefault="00271721" w:rsidP="00271721">
                      <w:pPr>
                        <w:rPr>
                          <w:sz w:val="22"/>
                          <w:lang w:val="en-US"/>
                        </w:rPr>
                      </w:pPr>
                      <w:r w:rsidRPr="00271721">
                        <w:rPr>
                          <w:b/>
                          <w:bCs/>
                          <w:i/>
                          <w:iCs/>
                          <w:sz w:val="22"/>
                          <w:lang w:val="en-US"/>
                        </w:rPr>
                        <w:t>The Finnish Human Rights Center</w:t>
                      </w:r>
                      <w:r w:rsidRPr="00271721">
                        <w:rPr>
                          <w:sz w:val="22"/>
                          <w:lang w:val="en-US"/>
                        </w:rPr>
                        <w:t xml:space="preserve"> (HRC) is an autonomous and independent expert institution whose task is to promote and monitor the implementation of fundamental and human rights in Finland as well as to increase cooperation and exchange of information between various actors in the field. According to its founding legislation, one of the tasks of the HRC is to participate in European and international cooperation related to the promotion and protection of fundamental and human rights. </w:t>
                      </w:r>
                    </w:p>
                    <w:p w:rsidR="00271721" w:rsidRPr="00271721" w:rsidRDefault="00271721" w:rsidP="00271721">
                      <w:pPr>
                        <w:rPr>
                          <w:sz w:val="22"/>
                          <w:lang w:val="en-US"/>
                        </w:rPr>
                      </w:pPr>
                    </w:p>
                    <w:p w:rsidR="00271721" w:rsidRPr="00271721" w:rsidRDefault="00271721" w:rsidP="00271721">
                      <w:pPr>
                        <w:rPr>
                          <w:b/>
                          <w:bCs/>
                          <w:i/>
                          <w:iCs/>
                          <w:sz w:val="22"/>
                          <w:lang w:val="en-US"/>
                        </w:rPr>
                      </w:pPr>
                      <w:r w:rsidRPr="00271721">
                        <w:rPr>
                          <w:b/>
                          <w:bCs/>
                          <w:i/>
                          <w:iCs/>
                          <w:sz w:val="22"/>
                          <w:lang w:val="en-US"/>
                        </w:rPr>
                        <w:t xml:space="preserve">The HRC represents the Finnish NHRI in international NHRI cooperation. The HRC forms the National Human Rights Institution (NHRI), alongside with its pluralistic 39-member Human Rights Delegation and the Parliamentary Ombudsman. </w:t>
                      </w:r>
                    </w:p>
                    <w:p w:rsidR="00271721" w:rsidRPr="00271721" w:rsidRDefault="00271721" w:rsidP="00271721">
                      <w:pPr>
                        <w:rPr>
                          <w:sz w:val="22"/>
                          <w:lang w:val="en-US"/>
                        </w:rPr>
                      </w:pPr>
                    </w:p>
                    <w:p w:rsidR="00271721" w:rsidRPr="00271721" w:rsidRDefault="00271721" w:rsidP="00271721">
                      <w:pPr>
                        <w:rPr>
                          <w:b/>
                          <w:bCs/>
                          <w:sz w:val="22"/>
                          <w:lang w:val="en-US"/>
                        </w:rPr>
                      </w:pPr>
                      <w:r w:rsidRPr="00271721">
                        <w:rPr>
                          <w:sz w:val="22"/>
                          <w:lang w:val="en-US"/>
                        </w:rPr>
                        <w:t xml:space="preserve">The National Human Rights Institution in Finland was established by law in 2012, and received </w:t>
                      </w:r>
                      <w:r w:rsidRPr="00271721">
                        <w:rPr>
                          <w:b/>
                          <w:bCs/>
                          <w:sz w:val="22"/>
                          <w:lang w:val="en-US"/>
                        </w:rPr>
                        <w:t xml:space="preserve">A-status in 2014. </w:t>
                      </w:r>
                    </w:p>
                    <w:p w:rsidR="00271721" w:rsidRPr="00271721" w:rsidRDefault="00271721" w:rsidP="00271721">
                      <w:pPr>
                        <w:rPr>
                          <w:b/>
                          <w:bCs/>
                          <w:sz w:val="22"/>
                          <w:lang w:val="en-US"/>
                        </w:rPr>
                      </w:pPr>
                    </w:p>
                    <w:p w:rsidR="00271721" w:rsidRPr="00503CC9" w:rsidRDefault="00271721" w:rsidP="00503CC9">
                      <w:pPr>
                        <w:rPr>
                          <w:b/>
                          <w:bCs/>
                          <w:lang w:val="en-US"/>
                        </w:rPr>
                      </w:pPr>
                      <w:r w:rsidRPr="00271721">
                        <w:rPr>
                          <w:b/>
                          <w:bCs/>
                          <w:sz w:val="22"/>
                          <w:lang w:val="en-US"/>
                        </w:rPr>
                        <w:t>A review of the status is pending.</w:t>
                      </w:r>
                    </w:p>
                  </w:txbxContent>
                </v:textbox>
                <w10:wrap type="square"/>
              </v:shape>
            </w:pict>
          </mc:Fallback>
        </mc:AlternateContent>
      </w:r>
    </w:p>
    <w:p w:rsidR="00271721" w:rsidRPr="004222BB" w:rsidRDefault="00271721" w:rsidP="000918BA">
      <w:pPr>
        <w:rPr>
          <w:rFonts w:cs="Arial"/>
          <w:sz w:val="20"/>
          <w:szCs w:val="20"/>
          <w:lang w:val="en-US"/>
        </w:rPr>
      </w:pPr>
    </w:p>
    <w:p w:rsidR="00B53F6E" w:rsidRPr="004222BB" w:rsidRDefault="00101CED" w:rsidP="0059457F">
      <w:pPr>
        <w:pStyle w:val="Otsikko3"/>
        <w:rPr>
          <w:rFonts w:cs="Arial"/>
          <w:sz w:val="20"/>
          <w:szCs w:val="20"/>
          <w:lang w:val="en-US"/>
        </w:rPr>
        <w:sectPr w:rsidR="00B53F6E" w:rsidRPr="004222BB" w:rsidSect="000C329D">
          <w:footerReference w:type="even" r:id="rId8"/>
          <w:footerReference w:type="default" r:id="rId9"/>
          <w:headerReference w:type="first" r:id="rId10"/>
          <w:footerReference w:type="first" r:id="rId11"/>
          <w:type w:val="continuous"/>
          <w:pgSz w:w="11906" w:h="16840"/>
          <w:pgMar w:top="2722" w:right="1134" w:bottom="1701" w:left="2722" w:header="720" w:footer="720" w:gutter="0"/>
          <w:cols w:space="720"/>
          <w:titlePg/>
          <w:docGrid w:linePitch="245"/>
        </w:sectPr>
      </w:pPr>
      <w:r w:rsidRPr="004222BB">
        <w:rPr>
          <w:rFonts w:cs="Arial"/>
          <w:sz w:val="20"/>
          <w:szCs w:val="20"/>
          <w:lang w:val="en-US"/>
        </w:rPr>
        <w:t>Guiding Questions for Defining the Normative Content of the Issues Examined at the Tenth Working Session of the Open-ended Working Group: Education, Training, Life-long</w:t>
      </w:r>
      <w:r w:rsidR="00236324" w:rsidRPr="004222BB">
        <w:rPr>
          <w:rFonts w:cs="Arial"/>
          <w:sz w:val="20"/>
          <w:szCs w:val="20"/>
          <w:lang w:val="en-US"/>
        </w:rPr>
        <w:t xml:space="preserve"> Learning and Capacity-building</w:t>
      </w:r>
    </w:p>
    <w:p w:rsidR="00C53BA5" w:rsidRPr="004222BB" w:rsidRDefault="00C53BA5" w:rsidP="0059457F">
      <w:pPr>
        <w:pStyle w:val="Otsikko3"/>
        <w:rPr>
          <w:rFonts w:cs="Arial"/>
          <w:sz w:val="20"/>
          <w:szCs w:val="20"/>
          <w:lang w:val="en-US"/>
        </w:rPr>
      </w:pPr>
    </w:p>
    <w:p w:rsidR="00236324" w:rsidRPr="004222BB" w:rsidRDefault="00236324" w:rsidP="0059457F">
      <w:pPr>
        <w:rPr>
          <w:rFonts w:cs="Arial"/>
          <w:sz w:val="20"/>
          <w:szCs w:val="20"/>
          <w:lang w:val="en-US"/>
        </w:rPr>
      </w:pPr>
    </w:p>
    <w:p w:rsidR="00236324" w:rsidRPr="004222BB" w:rsidRDefault="00236324" w:rsidP="0059457F">
      <w:pPr>
        <w:rPr>
          <w:rFonts w:cs="Arial"/>
          <w:b/>
          <w:sz w:val="20"/>
          <w:szCs w:val="20"/>
          <w:lang w:val="en-US"/>
        </w:rPr>
      </w:pPr>
      <w:r w:rsidRPr="004222BB">
        <w:rPr>
          <w:rFonts w:cs="Arial"/>
          <w:b/>
          <w:sz w:val="20"/>
          <w:szCs w:val="20"/>
          <w:lang w:val="en-US"/>
        </w:rPr>
        <w:t>Definition</w:t>
      </w:r>
    </w:p>
    <w:p w:rsidR="00236324" w:rsidRPr="004222BB" w:rsidRDefault="00236324" w:rsidP="0059457F">
      <w:pPr>
        <w:rPr>
          <w:rFonts w:cs="Arial"/>
          <w:b/>
          <w:sz w:val="20"/>
          <w:szCs w:val="20"/>
          <w:lang w:val="en-US"/>
        </w:rPr>
      </w:pPr>
    </w:p>
    <w:p w:rsidR="00236324" w:rsidRPr="004222BB" w:rsidRDefault="00236324" w:rsidP="0059457F">
      <w:pPr>
        <w:pStyle w:val="Luettelokappale"/>
        <w:numPr>
          <w:ilvl w:val="0"/>
          <w:numId w:val="3"/>
        </w:numPr>
        <w:rPr>
          <w:rFonts w:ascii="Arial" w:hAnsi="Arial" w:cs="Arial"/>
          <w:i/>
          <w:sz w:val="20"/>
          <w:szCs w:val="20"/>
          <w:lang w:val="en-US"/>
        </w:rPr>
      </w:pPr>
      <w:r w:rsidRPr="004222BB">
        <w:rPr>
          <w:rFonts w:ascii="Arial" w:hAnsi="Arial" w:cs="Arial"/>
          <w:i/>
          <w:sz w:val="20"/>
          <w:szCs w:val="20"/>
          <w:lang w:val="en-US"/>
        </w:rPr>
        <w:t xml:space="preserve">What are the definitions of the rights to older persons to education, training, life-long learning and </w:t>
      </w:r>
      <w:proofErr w:type="gramStart"/>
      <w:r w:rsidRPr="004222BB">
        <w:rPr>
          <w:rFonts w:ascii="Arial" w:hAnsi="Arial" w:cs="Arial"/>
          <w:i/>
          <w:sz w:val="20"/>
          <w:szCs w:val="20"/>
          <w:lang w:val="en-US"/>
        </w:rPr>
        <w:t>capacity-building</w:t>
      </w:r>
      <w:proofErr w:type="gramEnd"/>
      <w:r w:rsidRPr="004222BB">
        <w:rPr>
          <w:rFonts w:ascii="Arial" w:hAnsi="Arial" w:cs="Arial"/>
          <w:i/>
          <w:sz w:val="20"/>
          <w:szCs w:val="20"/>
          <w:lang w:val="en-US"/>
        </w:rPr>
        <w:t xml:space="preserve"> in the national legislation of your country? </w:t>
      </w:r>
    </w:p>
    <w:p w:rsidR="005D2596" w:rsidRPr="004222BB" w:rsidRDefault="005D2596" w:rsidP="0059457F">
      <w:pPr>
        <w:rPr>
          <w:rFonts w:cs="Arial"/>
          <w:sz w:val="20"/>
          <w:szCs w:val="20"/>
          <w:lang w:val="en-US"/>
        </w:rPr>
      </w:pPr>
    </w:p>
    <w:p w:rsidR="005D2596" w:rsidRPr="004222BB" w:rsidRDefault="00C049D4" w:rsidP="001803CC">
      <w:pPr>
        <w:ind w:left="720"/>
        <w:rPr>
          <w:rFonts w:cs="Arial"/>
          <w:sz w:val="20"/>
          <w:szCs w:val="20"/>
          <w:lang w:val="en-US"/>
        </w:rPr>
      </w:pPr>
      <w:r w:rsidRPr="004222BB">
        <w:rPr>
          <w:rFonts w:cs="Arial"/>
          <w:sz w:val="20"/>
          <w:szCs w:val="20"/>
          <w:lang w:val="en-US"/>
        </w:rPr>
        <w:t>Vocational rehabilitation is available for persons who have not yet reached retirement age.</w:t>
      </w:r>
    </w:p>
    <w:p w:rsidR="005D2596" w:rsidRPr="004222BB" w:rsidRDefault="005D2596" w:rsidP="0059457F">
      <w:pPr>
        <w:rPr>
          <w:rFonts w:cs="Arial"/>
          <w:sz w:val="20"/>
          <w:szCs w:val="20"/>
          <w:lang w:val="en-US"/>
        </w:rPr>
      </w:pPr>
    </w:p>
    <w:p w:rsidR="00236324" w:rsidRPr="004222BB" w:rsidRDefault="00236324" w:rsidP="0059457F">
      <w:pPr>
        <w:rPr>
          <w:rFonts w:cs="Arial"/>
          <w:sz w:val="20"/>
          <w:szCs w:val="20"/>
          <w:lang w:val="en-US"/>
        </w:rPr>
      </w:pPr>
    </w:p>
    <w:p w:rsidR="00236324" w:rsidRPr="004222BB" w:rsidRDefault="00236324" w:rsidP="0059457F">
      <w:pPr>
        <w:rPr>
          <w:rFonts w:cs="Arial"/>
          <w:b/>
          <w:sz w:val="20"/>
          <w:szCs w:val="20"/>
          <w:lang w:val="en-US"/>
        </w:rPr>
      </w:pPr>
      <w:r w:rsidRPr="004222BB">
        <w:rPr>
          <w:rFonts w:cs="Arial"/>
          <w:b/>
          <w:sz w:val="20"/>
          <w:szCs w:val="20"/>
          <w:lang w:val="en-US"/>
        </w:rPr>
        <w:t>Scope of the right</w:t>
      </w:r>
    </w:p>
    <w:p w:rsidR="00236324" w:rsidRPr="004222BB" w:rsidRDefault="00236324" w:rsidP="0059457F">
      <w:pPr>
        <w:rPr>
          <w:rFonts w:cs="Arial"/>
          <w:sz w:val="20"/>
          <w:szCs w:val="20"/>
          <w:lang w:val="en-US"/>
        </w:rPr>
      </w:pPr>
    </w:p>
    <w:p w:rsidR="00236324" w:rsidRPr="004222BB" w:rsidRDefault="00236324" w:rsidP="0059457F">
      <w:pPr>
        <w:pStyle w:val="Luettelokappale"/>
        <w:numPr>
          <w:ilvl w:val="0"/>
          <w:numId w:val="3"/>
        </w:numPr>
        <w:rPr>
          <w:rFonts w:ascii="Arial" w:hAnsi="Arial" w:cs="Arial"/>
          <w:i/>
          <w:sz w:val="20"/>
          <w:szCs w:val="20"/>
          <w:lang w:val="en-US"/>
        </w:rPr>
      </w:pPr>
      <w:r w:rsidRPr="004222BB">
        <w:rPr>
          <w:rFonts w:ascii="Arial" w:hAnsi="Arial" w:cs="Arial"/>
          <w:i/>
          <w:sz w:val="20"/>
          <w:szCs w:val="20"/>
          <w:lang w:val="en-US"/>
        </w:rPr>
        <w:t xml:space="preserve">What are the key normative elements of the rights of older persons to </w:t>
      </w:r>
      <w:r w:rsidR="003C6B98" w:rsidRPr="004222BB">
        <w:rPr>
          <w:rFonts w:ascii="Arial" w:hAnsi="Arial" w:cs="Arial"/>
          <w:i/>
          <w:sz w:val="20"/>
          <w:szCs w:val="20"/>
          <w:lang w:val="en-US"/>
        </w:rPr>
        <w:t xml:space="preserve">education, training, life-long learning and </w:t>
      </w:r>
      <w:r w:rsidR="0026162D" w:rsidRPr="004222BB">
        <w:rPr>
          <w:rFonts w:ascii="Arial" w:hAnsi="Arial" w:cs="Arial"/>
          <w:i/>
          <w:sz w:val="20"/>
          <w:szCs w:val="20"/>
          <w:lang w:val="en-US"/>
        </w:rPr>
        <w:t>capacity building</w:t>
      </w:r>
      <w:r w:rsidR="003C6B98" w:rsidRPr="004222BB">
        <w:rPr>
          <w:rFonts w:ascii="Arial" w:hAnsi="Arial" w:cs="Arial"/>
          <w:i/>
          <w:sz w:val="20"/>
          <w:szCs w:val="20"/>
          <w:lang w:val="en-US"/>
        </w:rPr>
        <w:t>, including such elements as availability, accessibility, acceptability and adaptability? Please provide references to existing standards where applicable.</w:t>
      </w:r>
    </w:p>
    <w:p w:rsidR="009104A7" w:rsidRPr="004222BB" w:rsidRDefault="009104A7" w:rsidP="0059457F">
      <w:pPr>
        <w:rPr>
          <w:rFonts w:cs="Arial"/>
          <w:sz w:val="20"/>
          <w:szCs w:val="20"/>
          <w:lang w:val="en-US"/>
        </w:rPr>
      </w:pPr>
    </w:p>
    <w:p w:rsidR="00116F9C" w:rsidRPr="004222BB" w:rsidRDefault="00C049D4" w:rsidP="001803CC">
      <w:pPr>
        <w:ind w:firstLine="720"/>
        <w:rPr>
          <w:rFonts w:cs="Arial"/>
          <w:sz w:val="20"/>
          <w:szCs w:val="20"/>
          <w:lang w:val="en-US"/>
        </w:rPr>
      </w:pPr>
      <w:r w:rsidRPr="004222BB">
        <w:rPr>
          <w:rFonts w:cs="Arial"/>
          <w:sz w:val="20"/>
          <w:szCs w:val="20"/>
          <w:lang w:val="en-US"/>
        </w:rPr>
        <w:t xml:space="preserve">See answer to question </w:t>
      </w:r>
      <w:r w:rsidR="0026162D" w:rsidRPr="004222BB">
        <w:rPr>
          <w:rFonts w:cs="Arial"/>
          <w:sz w:val="20"/>
          <w:szCs w:val="20"/>
          <w:lang w:val="en-US"/>
        </w:rPr>
        <w:t>one</w:t>
      </w:r>
      <w:r w:rsidRPr="004222BB">
        <w:rPr>
          <w:rFonts w:cs="Arial"/>
          <w:sz w:val="20"/>
          <w:szCs w:val="20"/>
          <w:lang w:val="en-US"/>
        </w:rPr>
        <w:t xml:space="preserve"> on vocational training.</w:t>
      </w:r>
    </w:p>
    <w:p w:rsidR="00C049D4" w:rsidRPr="004222BB" w:rsidRDefault="00C049D4" w:rsidP="0059457F">
      <w:pPr>
        <w:rPr>
          <w:rFonts w:cs="Arial"/>
          <w:sz w:val="20"/>
          <w:szCs w:val="20"/>
          <w:lang w:val="en-US"/>
        </w:rPr>
      </w:pPr>
    </w:p>
    <w:p w:rsidR="00116F9C" w:rsidRPr="004222BB" w:rsidRDefault="00116F9C" w:rsidP="001803CC">
      <w:pPr>
        <w:ind w:left="720"/>
        <w:rPr>
          <w:rFonts w:cs="Arial"/>
          <w:sz w:val="20"/>
          <w:szCs w:val="20"/>
          <w:lang w:val="en-US"/>
        </w:rPr>
      </w:pPr>
      <w:r w:rsidRPr="004222BB">
        <w:rPr>
          <w:rFonts w:cs="Arial"/>
          <w:sz w:val="20"/>
          <w:szCs w:val="20"/>
          <w:lang w:val="en-US"/>
        </w:rPr>
        <w:t xml:space="preserve">The Act on Adult Education </w:t>
      </w:r>
      <w:proofErr w:type="spellStart"/>
      <w:r w:rsidR="00431AFE" w:rsidRPr="004222BB">
        <w:rPr>
          <w:rFonts w:cs="Arial"/>
          <w:sz w:val="20"/>
          <w:szCs w:val="20"/>
          <w:lang w:val="en-US"/>
        </w:rPr>
        <w:t>Centres</w:t>
      </w:r>
      <w:proofErr w:type="spellEnd"/>
      <w:r w:rsidR="00431AFE" w:rsidRPr="004222BB">
        <w:rPr>
          <w:rFonts w:cs="Arial"/>
          <w:sz w:val="20"/>
          <w:szCs w:val="20"/>
          <w:lang w:val="en-US"/>
        </w:rPr>
        <w:t xml:space="preserve"> mentions</w:t>
      </w:r>
      <w:r w:rsidRPr="004222BB">
        <w:rPr>
          <w:rFonts w:cs="Arial"/>
          <w:sz w:val="20"/>
          <w:szCs w:val="20"/>
          <w:lang w:val="en-US"/>
        </w:rPr>
        <w:t xml:space="preserve"> lifelong learning as its goal. However, there </w:t>
      </w:r>
      <w:proofErr w:type="gramStart"/>
      <w:r w:rsidRPr="004222BB">
        <w:rPr>
          <w:rFonts w:cs="Arial"/>
          <w:sz w:val="20"/>
          <w:szCs w:val="20"/>
          <w:lang w:val="en-US"/>
        </w:rPr>
        <w:t>aren’t</w:t>
      </w:r>
      <w:proofErr w:type="gramEnd"/>
      <w:r w:rsidRPr="004222BB">
        <w:rPr>
          <w:rFonts w:cs="Arial"/>
          <w:sz w:val="20"/>
          <w:szCs w:val="20"/>
          <w:lang w:val="en-US"/>
        </w:rPr>
        <w:t xml:space="preserve"> any provisions in the act that would take into account the special needs of older population. </w:t>
      </w:r>
    </w:p>
    <w:p w:rsidR="0081631B" w:rsidRDefault="0081631B" w:rsidP="0059457F">
      <w:pPr>
        <w:rPr>
          <w:rFonts w:cs="Arial"/>
          <w:sz w:val="20"/>
          <w:szCs w:val="20"/>
          <w:lang w:val="en-US"/>
        </w:rPr>
      </w:pPr>
    </w:p>
    <w:p w:rsidR="00236324" w:rsidRPr="004222BB" w:rsidRDefault="00236324" w:rsidP="0059457F">
      <w:pPr>
        <w:rPr>
          <w:rFonts w:cs="Arial"/>
          <w:b/>
          <w:sz w:val="20"/>
          <w:szCs w:val="20"/>
          <w:lang w:val="en-US"/>
        </w:rPr>
      </w:pPr>
      <w:r w:rsidRPr="004222BB">
        <w:rPr>
          <w:rFonts w:cs="Arial"/>
          <w:b/>
          <w:sz w:val="20"/>
          <w:szCs w:val="20"/>
          <w:lang w:val="en-US"/>
        </w:rPr>
        <w:lastRenderedPageBreak/>
        <w:t>State obligations</w:t>
      </w:r>
    </w:p>
    <w:p w:rsidR="003C6B98" w:rsidRPr="004222BB" w:rsidRDefault="003C6B98" w:rsidP="0059457F">
      <w:pPr>
        <w:rPr>
          <w:rFonts w:cs="Arial"/>
          <w:sz w:val="20"/>
          <w:szCs w:val="20"/>
          <w:lang w:val="en-US"/>
        </w:rPr>
      </w:pPr>
    </w:p>
    <w:p w:rsidR="00236324" w:rsidRPr="004222BB" w:rsidRDefault="00236324" w:rsidP="0059457F">
      <w:pPr>
        <w:pStyle w:val="Luettelokappale"/>
        <w:numPr>
          <w:ilvl w:val="0"/>
          <w:numId w:val="3"/>
        </w:numPr>
        <w:rPr>
          <w:rFonts w:ascii="Arial" w:hAnsi="Arial" w:cs="Arial"/>
          <w:i/>
          <w:sz w:val="20"/>
          <w:szCs w:val="20"/>
          <w:lang w:val="en-US"/>
        </w:rPr>
      </w:pPr>
      <w:r w:rsidRPr="004222BB">
        <w:rPr>
          <w:rFonts w:ascii="Arial" w:hAnsi="Arial" w:cs="Arial"/>
          <w:i/>
          <w:sz w:val="20"/>
          <w:szCs w:val="20"/>
          <w:lang w:val="en-US"/>
        </w:rPr>
        <w:t xml:space="preserve">What are </w:t>
      </w:r>
      <w:r w:rsidR="001E7551" w:rsidRPr="004222BB">
        <w:rPr>
          <w:rFonts w:ascii="Arial" w:hAnsi="Arial" w:cs="Arial"/>
          <w:i/>
          <w:sz w:val="20"/>
          <w:szCs w:val="20"/>
          <w:lang w:val="en-US"/>
        </w:rPr>
        <w:t xml:space="preserve">the </w:t>
      </w:r>
      <w:r w:rsidRPr="004222BB">
        <w:rPr>
          <w:rFonts w:ascii="Arial" w:hAnsi="Arial" w:cs="Arial"/>
          <w:i/>
          <w:sz w:val="20"/>
          <w:szCs w:val="20"/>
          <w:lang w:val="en-US"/>
        </w:rPr>
        <w:t xml:space="preserve">measures that </w:t>
      </w:r>
      <w:proofErr w:type="gramStart"/>
      <w:r w:rsidRPr="004222BB">
        <w:rPr>
          <w:rFonts w:ascii="Arial" w:hAnsi="Arial" w:cs="Arial"/>
          <w:i/>
          <w:sz w:val="20"/>
          <w:szCs w:val="20"/>
          <w:lang w:val="en-US"/>
        </w:rPr>
        <w:t>should be undertaken</w:t>
      </w:r>
      <w:proofErr w:type="gramEnd"/>
      <w:r w:rsidRPr="004222BB">
        <w:rPr>
          <w:rFonts w:ascii="Arial" w:hAnsi="Arial" w:cs="Arial"/>
          <w:i/>
          <w:sz w:val="20"/>
          <w:szCs w:val="20"/>
          <w:lang w:val="en-US"/>
        </w:rPr>
        <w:t xml:space="preserve"> by the State to respect, protect and fulfill the rights of older persons to education, training, life-long learning and </w:t>
      </w:r>
      <w:r w:rsidR="0026162D" w:rsidRPr="004222BB">
        <w:rPr>
          <w:rFonts w:ascii="Arial" w:hAnsi="Arial" w:cs="Arial"/>
          <w:i/>
          <w:sz w:val="20"/>
          <w:szCs w:val="20"/>
          <w:lang w:val="en-US"/>
        </w:rPr>
        <w:t>capacity building</w:t>
      </w:r>
      <w:r w:rsidRPr="004222BB">
        <w:rPr>
          <w:rFonts w:ascii="Arial" w:hAnsi="Arial" w:cs="Arial"/>
          <w:i/>
          <w:sz w:val="20"/>
          <w:szCs w:val="20"/>
          <w:lang w:val="en-US"/>
        </w:rPr>
        <w:t>, regarding the normative elements as provided above?</w:t>
      </w:r>
    </w:p>
    <w:p w:rsidR="00C049D4" w:rsidRPr="004222BB" w:rsidRDefault="00C049D4" w:rsidP="001803CC">
      <w:pPr>
        <w:ind w:left="720"/>
        <w:rPr>
          <w:rFonts w:cs="Arial"/>
          <w:sz w:val="20"/>
          <w:szCs w:val="20"/>
          <w:lang w:val="en-US"/>
        </w:rPr>
      </w:pPr>
      <w:r w:rsidRPr="004222BB">
        <w:rPr>
          <w:rFonts w:cs="Arial"/>
          <w:sz w:val="20"/>
          <w:szCs w:val="20"/>
          <w:lang w:val="en-US"/>
        </w:rPr>
        <w:t xml:space="preserve">Right to accessibility, as well physical as digital accessibility, should be one of the priorities when the right to education and </w:t>
      </w:r>
      <w:r w:rsidR="0026162D" w:rsidRPr="004222BB">
        <w:rPr>
          <w:rFonts w:cs="Arial"/>
          <w:sz w:val="20"/>
          <w:szCs w:val="20"/>
          <w:lang w:val="en-US"/>
        </w:rPr>
        <w:t>capacity building</w:t>
      </w:r>
      <w:r w:rsidRPr="004222BB">
        <w:rPr>
          <w:rFonts w:cs="Arial"/>
          <w:sz w:val="20"/>
          <w:szCs w:val="20"/>
          <w:lang w:val="en-US"/>
        </w:rPr>
        <w:t xml:space="preserve"> for older people are considered. Right now the accessibility norms are scattered and do not cover all areas (for example digital accessibility in private education services or physical accessibility in old buildings).</w:t>
      </w:r>
    </w:p>
    <w:p w:rsidR="00802426" w:rsidRPr="004222BB" w:rsidRDefault="00802426" w:rsidP="0059457F">
      <w:pPr>
        <w:rPr>
          <w:rFonts w:cs="Arial"/>
          <w:sz w:val="20"/>
          <w:szCs w:val="20"/>
          <w:lang w:val="en-US"/>
        </w:rPr>
      </w:pPr>
    </w:p>
    <w:p w:rsidR="00802426" w:rsidRPr="004222BB" w:rsidRDefault="00802426" w:rsidP="0059457F">
      <w:pPr>
        <w:rPr>
          <w:rFonts w:cs="Arial"/>
          <w:sz w:val="20"/>
          <w:szCs w:val="20"/>
          <w:lang w:val="en-US"/>
        </w:rPr>
      </w:pPr>
    </w:p>
    <w:p w:rsidR="00802426" w:rsidRPr="004222BB" w:rsidRDefault="00802426" w:rsidP="0059457F">
      <w:pPr>
        <w:rPr>
          <w:rFonts w:cs="Arial"/>
          <w:b/>
          <w:sz w:val="20"/>
          <w:szCs w:val="20"/>
          <w:lang w:val="en-US"/>
        </w:rPr>
      </w:pPr>
      <w:r w:rsidRPr="004222BB">
        <w:rPr>
          <w:rFonts w:cs="Arial"/>
          <w:b/>
          <w:sz w:val="20"/>
          <w:szCs w:val="20"/>
          <w:lang w:val="en-US"/>
        </w:rPr>
        <w:t>Special considerations</w:t>
      </w:r>
    </w:p>
    <w:p w:rsidR="00802426" w:rsidRPr="004222BB" w:rsidRDefault="00802426" w:rsidP="0059457F">
      <w:pPr>
        <w:rPr>
          <w:rFonts w:cs="Arial"/>
          <w:b/>
          <w:sz w:val="20"/>
          <w:szCs w:val="20"/>
          <w:lang w:val="en-US"/>
        </w:rPr>
      </w:pPr>
    </w:p>
    <w:p w:rsidR="00802426" w:rsidRPr="004222BB" w:rsidRDefault="001E7551" w:rsidP="0059457F">
      <w:pPr>
        <w:pStyle w:val="Luettelokappale"/>
        <w:numPr>
          <w:ilvl w:val="0"/>
          <w:numId w:val="3"/>
        </w:numPr>
        <w:rPr>
          <w:rFonts w:ascii="Arial" w:hAnsi="Arial" w:cs="Arial"/>
          <w:b/>
          <w:i/>
          <w:sz w:val="20"/>
          <w:szCs w:val="20"/>
          <w:lang w:val="en-US"/>
        </w:rPr>
      </w:pPr>
      <w:r w:rsidRPr="004222BB">
        <w:rPr>
          <w:rFonts w:ascii="Arial" w:hAnsi="Arial" w:cs="Arial"/>
          <w:i/>
          <w:sz w:val="20"/>
          <w:szCs w:val="20"/>
          <w:lang w:val="en-US"/>
        </w:rPr>
        <w:t xml:space="preserve">What special measures and specific considerations should be considered in developing the normative content of the rights of older persons to education, training, life-long learning and </w:t>
      </w:r>
      <w:r w:rsidR="0026162D" w:rsidRPr="004222BB">
        <w:rPr>
          <w:rFonts w:ascii="Arial" w:hAnsi="Arial" w:cs="Arial"/>
          <w:i/>
          <w:sz w:val="20"/>
          <w:szCs w:val="20"/>
          <w:lang w:val="en-US"/>
        </w:rPr>
        <w:t>capacity building</w:t>
      </w:r>
      <w:r w:rsidRPr="004222BB">
        <w:rPr>
          <w:rFonts w:ascii="Arial" w:hAnsi="Arial" w:cs="Arial"/>
          <w:i/>
          <w:sz w:val="20"/>
          <w:szCs w:val="20"/>
          <w:lang w:val="en-US"/>
        </w:rPr>
        <w:t>?</w:t>
      </w:r>
    </w:p>
    <w:p w:rsidR="001E7551" w:rsidRPr="004222BB" w:rsidRDefault="001E7551" w:rsidP="0059457F">
      <w:pPr>
        <w:pStyle w:val="Luettelokappale"/>
        <w:numPr>
          <w:ilvl w:val="0"/>
          <w:numId w:val="3"/>
        </w:numPr>
        <w:rPr>
          <w:rFonts w:ascii="Arial" w:hAnsi="Arial" w:cs="Arial"/>
          <w:b/>
          <w:i/>
          <w:sz w:val="20"/>
          <w:szCs w:val="20"/>
          <w:lang w:val="en-US"/>
        </w:rPr>
      </w:pPr>
      <w:r w:rsidRPr="004222BB">
        <w:rPr>
          <w:rFonts w:ascii="Arial" w:hAnsi="Arial" w:cs="Arial"/>
          <w:i/>
          <w:sz w:val="20"/>
          <w:szCs w:val="20"/>
          <w:lang w:val="en-US"/>
        </w:rPr>
        <w:t>How should the responsibilities of non-State parties such as private sector be defined in the context of the rights of older persons to education, training, life-long learning and capacity-building?</w:t>
      </w:r>
    </w:p>
    <w:p w:rsidR="0059457F" w:rsidRPr="004222BB" w:rsidRDefault="0059457F" w:rsidP="0081631B">
      <w:pPr>
        <w:ind w:left="720"/>
        <w:rPr>
          <w:rFonts w:cs="Arial"/>
          <w:sz w:val="20"/>
          <w:szCs w:val="20"/>
          <w:lang w:val="en-US"/>
        </w:rPr>
      </w:pPr>
      <w:r w:rsidRPr="004222BB">
        <w:rPr>
          <w:rFonts w:cs="Arial"/>
          <w:sz w:val="20"/>
          <w:szCs w:val="20"/>
          <w:lang w:val="en-US"/>
        </w:rPr>
        <w:t xml:space="preserve">According to the Section 22 - Protection of basic rights and liberties - of the Constitution of </w:t>
      </w:r>
      <w:r w:rsidR="0026162D" w:rsidRPr="004222BB">
        <w:rPr>
          <w:rFonts w:cs="Arial"/>
          <w:sz w:val="20"/>
          <w:szCs w:val="20"/>
          <w:lang w:val="en-US"/>
        </w:rPr>
        <w:t>Finland,</w:t>
      </w:r>
      <w:r w:rsidRPr="004222BB">
        <w:rPr>
          <w:rFonts w:cs="Arial"/>
          <w:sz w:val="20"/>
          <w:szCs w:val="20"/>
          <w:lang w:val="en-US"/>
        </w:rPr>
        <w:t xml:space="preserve"> the public authorities shall guarantee the observance of basic rights and liberties and human rights. When a public task </w:t>
      </w:r>
      <w:proofErr w:type="gramStart"/>
      <w:r w:rsidRPr="004222BB">
        <w:rPr>
          <w:rFonts w:cs="Arial"/>
          <w:sz w:val="20"/>
          <w:szCs w:val="20"/>
          <w:lang w:val="en-US"/>
        </w:rPr>
        <w:t>is delegated</w:t>
      </w:r>
      <w:proofErr w:type="gramEnd"/>
      <w:r w:rsidRPr="004222BB">
        <w:rPr>
          <w:rFonts w:cs="Arial"/>
          <w:sz w:val="20"/>
          <w:szCs w:val="20"/>
          <w:lang w:val="en-US"/>
        </w:rPr>
        <w:t xml:space="preserve"> to non-public </w:t>
      </w:r>
      <w:r w:rsidR="0026162D" w:rsidRPr="004222BB">
        <w:rPr>
          <w:rFonts w:cs="Arial"/>
          <w:sz w:val="20"/>
          <w:szCs w:val="20"/>
          <w:lang w:val="en-US"/>
        </w:rPr>
        <w:t>actors,</w:t>
      </w:r>
      <w:r w:rsidRPr="004222BB">
        <w:rPr>
          <w:rFonts w:cs="Arial"/>
          <w:sz w:val="20"/>
          <w:szCs w:val="20"/>
          <w:lang w:val="en-US"/>
        </w:rPr>
        <w:t xml:space="preserve"> they are in the same way responsible for observing basic rights and liberties and human rights. </w:t>
      </w:r>
    </w:p>
    <w:p w:rsidR="0059457F" w:rsidRPr="004222BB" w:rsidRDefault="0059457F" w:rsidP="0059457F">
      <w:pPr>
        <w:ind w:left="720"/>
        <w:rPr>
          <w:rFonts w:cs="Arial"/>
          <w:sz w:val="20"/>
          <w:szCs w:val="20"/>
          <w:lang w:val="en-US"/>
        </w:rPr>
      </w:pPr>
    </w:p>
    <w:p w:rsidR="00775DA3" w:rsidRPr="004222BB" w:rsidRDefault="00775DA3" w:rsidP="0059457F">
      <w:pPr>
        <w:rPr>
          <w:rFonts w:cs="Arial"/>
          <w:b/>
          <w:sz w:val="20"/>
          <w:szCs w:val="20"/>
          <w:lang w:val="en-US"/>
        </w:rPr>
      </w:pPr>
    </w:p>
    <w:p w:rsidR="00775DA3" w:rsidRPr="004222BB" w:rsidRDefault="00775DA3" w:rsidP="0059457F">
      <w:pPr>
        <w:rPr>
          <w:rFonts w:cs="Arial"/>
          <w:b/>
          <w:sz w:val="20"/>
          <w:szCs w:val="20"/>
          <w:lang w:val="en-US"/>
        </w:rPr>
      </w:pPr>
      <w:r w:rsidRPr="004222BB">
        <w:rPr>
          <w:rFonts w:cs="Arial"/>
          <w:b/>
          <w:sz w:val="20"/>
          <w:szCs w:val="20"/>
          <w:lang w:val="en-US"/>
        </w:rPr>
        <w:t>Implementation</w:t>
      </w:r>
    </w:p>
    <w:p w:rsidR="00775DA3" w:rsidRPr="004222BB" w:rsidRDefault="00775DA3" w:rsidP="0059457F">
      <w:pPr>
        <w:rPr>
          <w:rFonts w:cs="Arial"/>
          <w:b/>
          <w:sz w:val="20"/>
          <w:szCs w:val="20"/>
          <w:lang w:val="en-US"/>
        </w:rPr>
      </w:pPr>
    </w:p>
    <w:p w:rsidR="0016294F" w:rsidRPr="0081631B" w:rsidRDefault="00775DA3" w:rsidP="0059457F">
      <w:pPr>
        <w:pStyle w:val="Luettelokappale"/>
        <w:numPr>
          <w:ilvl w:val="0"/>
          <w:numId w:val="3"/>
        </w:numPr>
        <w:rPr>
          <w:rFonts w:ascii="Arial" w:hAnsi="Arial" w:cs="Arial"/>
          <w:i/>
          <w:sz w:val="20"/>
          <w:szCs w:val="20"/>
          <w:lang w:val="en-US"/>
        </w:rPr>
      </w:pPr>
      <w:r w:rsidRPr="004222BB">
        <w:rPr>
          <w:rFonts w:ascii="Arial" w:hAnsi="Arial" w:cs="Arial"/>
          <w:i/>
          <w:sz w:val="20"/>
          <w:szCs w:val="20"/>
          <w:lang w:val="en-US"/>
        </w:rPr>
        <w:t xml:space="preserve">What are the best practices and main challenges faced by your country in the adoption and implementation of the normative framework on education, training, life-long learning and </w:t>
      </w:r>
      <w:r w:rsidR="0026162D" w:rsidRPr="004222BB">
        <w:rPr>
          <w:rFonts w:ascii="Arial" w:hAnsi="Arial" w:cs="Arial"/>
          <w:i/>
          <w:sz w:val="20"/>
          <w:szCs w:val="20"/>
          <w:lang w:val="en-US"/>
        </w:rPr>
        <w:t>capacity building</w:t>
      </w:r>
      <w:r w:rsidR="008B0B24" w:rsidRPr="004222BB">
        <w:rPr>
          <w:rFonts w:ascii="Arial" w:hAnsi="Arial" w:cs="Arial"/>
          <w:i/>
          <w:sz w:val="20"/>
          <w:szCs w:val="20"/>
          <w:lang w:val="en-US"/>
        </w:rPr>
        <w:t xml:space="preserve"> for older persons</w:t>
      </w:r>
    </w:p>
    <w:p w:rsidR="0016294F" w:rsidRPr="004222BB" w:rsidRDefault="0016294F" w:rsidP="0059457F">
      <w:pPr>
        <w:pStyle w:val="Otsikko3"/>
        <w:rPr>
          <w:rFonts w:cs="Arial"/>
          <w:sz w:val="20"/>
          <w:szCs w:val="20"/>
          <w:lang w:val="en-US"/>
        </w:rPr>
      </w:pPr>
    </w:p>
    <w:p w:rsidR="00842CCF" w:rsidRPr="004222BB" w:rsidRDefault="00842CCF" w:rsidP="0059457F">
      <w:pPr>
        <w:pStyle w:val="Otsikko3"/>
        <w:rPr>
          <w:rFonts w:cs="Arial"/>
          <w:sz w:val="20"/>
          <w:szCs w:val="20"/>
          <w:lang w:val="en-US"/>
        </w:rPr>
      </w:pPr>
      <w:r w:rsidRPr="004222BB">
        <w:rPr>
          <w:rFonts w:cs="Arial"/>
          <w:sz w:val="20"/>
          <w:szCs w:val="20"/>
          <w:lang w:val="en-US"/>
        </w:rPr>
        <w:t>Guiding Questions for Defining the Normative Content of the Issues Examined at the Tenth Working Session of the Open-ended Working Group:</w:t>
      </w:r>
      <w:r w:rsidR="002F158C" w:rsidRPr="004222BB">
        <w:rPr>
          <w:rFonts w:cs="Arial"/>
          <w:sz w:val="20"/>
          <w:szCs w:val="20"/>
          <w:lang w:val="en-US"/>
        </w:rPr>
        <w:t xml:space="preserve"> </w:t>
      </w:r>
      <w:r w:rsidRPr="004222BB">
        <w:rPr>
          <w:rFonts w:cs="Arial"/>
          <w:sz w:val="20"/>
          <w:szCs w:val="20"/>
          <w:lang w:val="en-US"/>
        </w:rPr>
        <w:t>Social Protection and Social Security (including social protection floors)</w:t>
      </w:r>
    </w:p>
    <w:p w:rsidR="009242A3" w:rsidRPr="004222BB" w:rsidRDefault="009242A3" w:rsidP="0059457F">
      <w:pPr>
        <w:rPr>
          <w:rFonts w:cs="Arial"/>
          <w:sz w:val="20"/>
          <w:szCs w:val="20"/>
          <w:lang w:val="en-US"/>
        </w:rPr>
      </w:pPr>
    </w:p>
    <w:p w:rsidR="00D10BF4" w:rsidRPr="004222BB" w:rsidRDefault="00D10BF4" w:rsidP="0059457F">
      <w:pPr>
        <w:rPr>
          <w:rFonts w:cs="Arial"/>
          <w:b/>
          <w:sz w:val="20"/>
          <w:szCs w:val="20"/>
          <w:lang w:val="en-US"/>
        </w:rPr>
      </w:pPr>
    </w:p>
    <w:p w:rsidR="009242A3" w:rsidRPr="004222BB" w:rsidRDefault="009242A3" w:rsidP="0059457F">
      <w:pPr>
        <w:rPr>
          <w:rFonts w:cs="Arial"/>
          <w:b/>
          <w:sz w:val="20"/>
          <w:szCs w:val="20"/>
          <w:lang w:val="en-US"/>
        </w:rPr>
      </w:pPr>
      <w:r w:rsidRPr="004222BB">
        <w:rPr>
          <w:rFonts w:cs="Arial"/>
          <w:b/>
          <w:sz w:val="20"/>
          <w:szCs w:val="20"/>
          <w:lang w:val="en-US"/>
        </w:rPr>
        <w:t>Definition</w:t>
      </w:r>
    </w:p>
    <w:p w:rsidR="00842CCF" w:rsidRPr="004222BB" w:rsidRDefault="00842CCF" w:rsidP="0059457F">
      <w:pPr>
        <w:rPr>
          <w:rFonts w:cs="Arial"/>
          <w:sz w:val="20"/>
          <w:szCs w:val="20"/>
          <w:lang w:val="en-US"/>
        </w:rPr>
      </w:pPr>
    </w:p>
    <w:p w:rsidR="00842CCF" w:rsidRPr="004222BB" w:rsidRDefault="009242A3" w:rsidP="0059457F">
      <w:pPr>
        <w:pStyle w:val="Luettelokappale"/>
        <w:numPr>
          <w:ilvl w:val="0"/>
          <w:numId w:val="4"/>
        </w:numPr>
        <w:rPr>
          <w:rFonts w:ascii="Arial" w:hAnsi="Arial" w:cs="Arial"/>
          <w:i/>
          <w:sz w:val="20"/>
          <w:szCs w:val="20"/>
          <w:lang w:val="en-US"/>
        </w:rPr>
      </w:pPr>
      <w:r w:rsidRPr="004222BB">
        <w:rPr>
          <w:rFonts w:ascii="Arial" w:hAnsi="Arial" w:cs="Arial"/>
          <w:i/>
          <w:sz w:val="20"/>
          <w:szCs w:val="20"/>
          <w:lang w:val="en-US"/>
        </w:rPr>
        <w:t xml:space="preserve">What is the definition of the right to social security and social protection (including social protection floors) for older persons in the national legislation in your country? </w:t>
      </w:r>
      <w:proofErr w:type="gramStart"/>
      <w:r w:rsidRPr="004222BB">
        <w:rPr>
          <w:rFonts w:ascii="Arial" w:hAnsi="Arial" w:cs="Arial"/>
          <w:i/>
          <w:sz w:val="20"/>
          <w:szCs w:val="20"/>
          <w:lang w:val="en-US"/>
        </w:rPr>
        <w:t>Or</w:t>
      </w:r>
      <w:proofErr w:type="gramEnd"/>
      <w:r w:rsidRPr="004222BB">
        <w:rPr>
          <w:rFonts w:ascii="Arial" w:hAnsi="Arial" w:cs="Arial"/>
          <w:i/>
          <w:sz w:val="20"/>
          <w:szCs w:val="20"/>
          <w:lang w:val="en-US"/>
        </w:rPr>
        <w:t xml:space="preserve"> how should such a right be defined</w:t>
      </w:r>
      <w:r w:rsidR="00871FC5" w:rsidRPr="004222BB">
        <w:rPr>
          <w:rFonts w:ascii="Arial" w:hAnsi="Arial" w:cs="Arial"/>
          <w:i/>
          <w:sz w:val="20"/>
          <w:szCs w:val="20"/>
          <w:lang w:val="en-US"/>
        </w:rPr>
        <w:t>, considering existing national, regional and international legal framework?</w:t>
      </w:r>
    </w:p>
    <w:p w:rsidR="00D41ADD" w:rsidRDefault="004B225D" w:rsidP="0081631B">
      <w:pPr>
        <w:ind w:left="643"/>
        <w:rPr>
          <w:rFonts w:cs="Arial"/>
          <w:sz w:val="20"/>
          <w:szCs w:val="20"/>
          <w:lang w:val="en-US"/>
        </w:rPr>
      </w:pPr>
      <w:r w:rsidRPr="004222BB">
        <w:rPr>
          <w:rFonts w:cs="Arial"/>
          <w:sz w:val="20"/>
          <w:szCs w:val="20"/>
          <w:lang w:val="en-US"/>
        </w:rPr>
        <w:t>The section 19 of the Constitution of Finland offer</w:t>
      </w:r>
      <w:r w:rsidR="00D41ADD" w:rsidRPr="004222BB">
        <w:rPr>
          <w:rFonts w:cs="Arial"/>
          <w:sz w:val="20"/>
          <w:szCs w:val="20"/>
          <w:lang w:val="en-US"/>
        </w:rPr>
        <w:t xml:space="preserve">s the right to social security. Everyone </w:t>
      </w:r>
      <w:proofErr w:type="gramStart"/>
      <w:r w:rsidR="00D41ADD" w:rsidRPr="004222BB">
        <w:rPr>
          <w:rFonts w:cs="Arial"/>
          <w:sz w:val="20"/>
          <w:szCs w:val="20"/>
          <w:lang w:val="en-US"/>
        </w:rPr>
        <w:t>shall be guaranteed</w:t>
      </w:r>
      <w:proofErr w:type="gramEnd"/>
      <w:r w:rsidR="00D41ADD" w:rsidRPr="004222BB">
        <w:rPr>
          <w:rFonts w:cs="Arial"/>
          <w:sz w:val="20"/>
          <w:szCs w:val="20"/>
          <w:lang w:val="en-US"/>
        </w:rPr>
        <w:t xml:space="preserve"> by an Act the right to basic subsistence in the event of unemployment, illness, and disability and during old age as well as at the birth of a child or the loss of a provider. </w:t>
      </w:r>
    </w:p>
    <w:p w:rsidR="0081631B" w:rsidRPr="004222BB" w:rsidRDefault="0081631B" w:rsidP="0059457F">
      <w:pPr>
        <w:ind w:left="283"/>
        <w:rPr>
          <w:rFonts w:cs="Arial"/>
          <w:sz w:val="20"/>
          <w:szCs w:val="20"/>
          <w:lang w:val="en-US"/>
        </w:rPr>
      </w:pPr>
    </w:p>
    <w:p w:rsidR="00D41ADD" w:rsidRPr="004222BB" w:rsidRDefault="00D41ADD" w:rsidP="0081631B">
      <w:pPr>
        <w:ind w:left="720"/>
        <w:rPr>
          <w:rFonts w:cs="Arial"/>
          <w:sz w:val="20"/>
          <w:szCs w:val="20"/>
          <w:lang w:val="en-US"/>
        </w:rPr>
      </w:pPr>
      <w:r w:rsidRPr="004222BB">
        <w:rPr>
          <w:rFonts w:cs="Arial"/>
          <w:sz w:val="20"/>
          <w:szCs w:val="20"/>
          <w:lang w:val="en-US"/>
        </w:rPr>
        <w:t xml:space="preserve">The public authorities shall guarantee for everyone, as provided in more detail by </w:t>
      </w:r>
      <w:r w:rsidRPr="004222BB">
        <w:rPr>
          <w:rFonts w:cs="Arial"/>
          <w:sz w:val="20"/>
          <w:szCs w:val="20"/>
          <w:lang w:val="en-US"/>
        </w:rPr>
        <w:lastRenderedPageBreak/>
        <w:t>an Act, adequate social, health and medical services and promote the health of the population.</w:t>
      </w:r>
    </w:p>
    <w:p w:rsidR="00D41ADD" w:rsidRPr="004222BB" w:rsidRDefault="00D41ADD" w:rsidP="0059457F">
      <w:pPr>
        <w:rPr>
          <w:rFonts w:cs="Arial"/>
          <w:sz w:val="20"/>
          <w:szCs w:val="20"/>
          <w:lang w:val="en-US"/>
        </w:rPr>
      </w:pPr>
    </w:p>
    <w:p w:rsidR="00871FC5" w:rsidRPr="004222BB" w:rsidRDefault="00D41ADD" w:rsidP="0081631B">
      <w:pPr>
        <w:ind w:left="720"/>
        <w:rPr>
          <w:rFonts w:cs="Arial"/>
          <w:sz w:val="20"/>
          <w:szCs w:val="20"/>
          <w:lang w:val="en-US"/>
        </w:rPr>
      </w:pPr>
      <w:r w:rsidRPr="004222BB">
        <w:rPr>
          <w:rFonts w:cs="Arial"/>
          <w:sz w:val="20"/>
          <w:szCs w:val="20"/>
          <w:lang w:val="en-US"/>
        </w:rPr>
        <w:t xml:space="preserve">These rights </w:t>
      </w:r>
      <w:proofErr w:type="gramStart"/>
      <w:r w:rsidRPr="004222BB">
        <w:rPr>
          <w:rFonts w:cs="Arial"/>
          <w:sz w:val="20"/>
          <w:szCs w:val="20"/>
          <w:lang w:val="en-US"/>
        </w:rPr>
        <w:t>are fu</w:t>
      </w:r>
      <w:r w:rsidR="00D10BF4" w:rsidRPr="004222BB">
        <w:rPr>
          <w:rFonts w:cs="Arial"/>
          <w:sz w:val="20"/>
          <w:szCs w:val="20"/>
          <w:lang w:val="en-US"/>
        </w:rPr>
        <w:t>rther specified</w:t>
      </w:r>
      <w:proofErr w:type="gramEnd"/>
      <w:r w:rsidR="00D10BF4" w:rsidRPr="004222BB">
        <w:rPr>
          <w:rFonts w:cs="Arial"/>
          <w:sz w:val="20"/>
          <w:szCs w:val="20"/>
          <w:lang w:val="en-US"/>
        </w:rPr>
        <w:t xml:space="preserve"> in </w:t>
      </w:r>
      <w:r w:rsidRPr="004222BB">
        <w:rPr>
          <w:rFonts w:cs="Arial"/>
          <w:sz w:val="20"/>
          <w:szCs w:val="20"/>
          <w:lang w:val="en-US"/>
        </w:rPr>
        <w:t>the Social Welfare Act and the</w:t>
      </w:r>
      <w:r w:rsidR="00871FC5" w:rsidRPr="004222BB">
        <w:rPr>
          <w:rFonts w:cs="Arial"/>
          <w:sz w:val="20"/>
          <w:szCs w:val="20"/>
          <w:lang w:val="en-US"/>
        </w:rPr>
        <w:t xml:space="preserve"> Act on Supporting the Functional Capacity of the Older Population and on Social and Health Services for Older Persons </w:t>
      </w:r>
    </w:p>
    <w:p w:rsidR="00421618" w:rsidRPr="004222BB" w:rsidRDefault="00421618" w:rsidP="0059457F">
      <w:pPr>
        <w:rPr>
          <w:rFonts w:cs="Arial"/>
          <w:sz w:val="20"/>
          <w:szCs w:val="20"/>
          <w:lang w:val="en-US"/>
        </w:rPr>
      </w:pPr>
    </w:p>
    <w:p w:rsidR="00421618" w:rsidRPr="004222BB" w:rsidRDefault="00421618" w:rsidP="0059457F">
      <w:pPr>
        <w:rPr>
          <w:rFonts w:cs="Arial"/>
          <w:b/>
          <w:sz w:val="20"/>
          <w:szCs w:val="20"/>
          <w:lang w:val="en-US"/>
        </w:rPr>
      </w:pPr>
    </w:p>
    <w:p w:rsidR="00421618" w:rsidRPr="004222BB" w:rsidRDefault="00421618" w:rsidP="0059457F">
      <w:pPr>
        <w:rPr>
          <w:rFonts w:cs="Arial"/>
          <w:b/>
          <w:sz w:val="20"/>
          <w:szCs w:val="20"/>
          <w:lang w:val="en-US"/>
        </w:rPr>
      </w:pPr>
    </w:p>
    <w:p w:rsidR="00421618" w:rsidRPr="004222BB" w:rsidRDefault="00421618" w:rsidP="0059457F">
      <w:pPr>
        <w:rPr>
          <w:rFonts w:cs="Arial"/>
          <w:b/>
          <w:sz w:val="20"/>
          <w:szCs w:val="20"/>
          <w:lang w:val="en-US"/>
        </w:rPr>
      </w:pPr>
      <w:r w:rsidRPr="004222BB">
        <w:rPr>
          <w:rFonts w:cs="Arial"/>
          <w:b/>
          <w:sz w:val="20"/>
          <w:szCs w:val="20"/>
          <w:lang w:val="en-US"/>
        </w:rPr>
        <w:t>Scope of the right</w:t>
      </w:r>
    </w:p>
    <w:p w:rsidR="00421618" w:rsidRPr="004222BB" w:rsidRDefault="00421618" w:rsidP="0059457F">
      <w:pPr>
        <w:rPr>
          <w:rFonts w:cs="Arial"/>
          <w:b/>
          <w:sz w:val="20"/>
          <w:szCs w:val="20"/>
          <w:lang w:val="en-US"/>
        </w:rPr>
      </w:pPr>
    </w:p>
    <w:p w:rsidR="00421618" w:rsidRPr="004222BB" w:rsidRDefault="00421618" w:rsidP="0059457F">
      <w:pPr>
        <w:pStyle w:val="Luettelokappale"/>
        <w:numPr>
          <w:ilvl w:val="0"/>
          <w:numId w:val="4"/>
        </w:numPr>
        <w:rPr>
          <w:rFonts w:ascii="Arial" w:hAnsi="Arial" w:cs="Arial"/>
          <w:i/>
          <w:sz w:val="20"/>
          <w:szCs w:val="20"/>
          <w:lang w:val="en-US"/>
        </w:rPr>
      </w:pPr>
      <w:r w:rsidRPr="004222BB">
        <w:rPr>
          <w:rFonts w:ascii="Arial" w:hAnsi="Arial" w:cs="Arial"/>
          <w:i/>
          <w:sz w:val="20"/>
          <w:szCs w:val="20"/>
          <w:lang w:val="en-US"/>
        </w:rPr>
        <w:t>What are the key normative elements of the right to social protection and social security for older persons? Please provide references to existing standards on such elements as below, as well as any additional elements:</w:t>
      </w:r>
    </w:p>
    <w:p w:rsidR="00421618" w:rsidRPr="004222BB" w:rsidRDefault="00421618" w:rsidP="0059457F">
      <w:pPr>
        <w:pStyle w:val="Luettelokappale"/>
        <w:numPr>
          <w:ilvl w:val="1"/>
          <w:numId w:val="5"/>
        </w:numPr>
        <w:rPr>
          <w:rFonts w:ascii="Arial" w:hAnsi="Arial" w:cs="Arial"/>
          <w:i/>
          <w:sz w:val="20"/>
          <w:szCs w:val="20"/>
          <w:lang w:val="en-US"/>
        </w:rPr>
      </w:pPr>
      <w:r w:rsidRPr="004222BB">
        <w:rPr>
          <w:rFonts w:ascii="Arial" w:hAnsi="Arial" w:cs="Arial"/>
          <w:i/>
          <w:sz w:val="20"/>
          <w:szCs w:val="20"/>
          <w:lang w:val="en-US"/>
        </w:rPr>
        <w:t>Availability of contributory and non-contributory schemes for older persons</w:t>
      </w:r>
    </w:p>
    <w:p w:rsidR="00D10BF4" w:rsidRPr="004222BB" w:rsidRDefault="00D10BF4" w:rsidP="0081631B">
      <w:pPr>
        <w:ind w:firstLine="720"/>
        <w:rPr>
          <w:rFonts w:cs="Arial"/>
          <w:sz w:val="20"/>
          <w:szCs w:val="20"/>
          <w:lang w:val="en-US"/>
        </w:rPr>
      </w:pPr>
      <w:r w:rsidRPr="004222BB">
        <w:rPr>
          <w:rFonts w:cs="Arial"/>
          <w:sz w:val="20"/>
          <w:szCs w:val="20"/>
          <w:lang w:val="en-US"/>
        </w:rPr>
        <w:t>There are in Finland both c</w:t>
      </w:r>
      <w:r w:rsidR="00421618" w:rsidRPr="004222BB">
        <w:rPr>
          <w:rFonts w:cs="Arial"/>
          <w:sz w:val="20"/>
          <w:szCs w:val="20"/>
          <w:lang w:val="en-US"/>
        </w:rPr>
        <w:t>ontributory an</w:t>
      </w:r>
      <w:r w:rsidRPr="004222BB">
        <w:rPr>
          <w:rFonts w:cs="Arial"/>
          <w:sz w:val="20"/>
          <w:szCs w:val="20"/>
          <w:lang w:val="en-US"/>
        </w:rPr>
        <w:t>d non-contributory pensions.</w:t>
      </w:r>
    </w:p>
    <w:p w:rsidR="00421618" w:rsidRPr="004222BB" w:rsidRDefault="00421618" w:rsidP="0081631B">
      <w:pPr>
        <w:ind w:left="720"/>
        <w:rPr>
          <w:rFonts w:cs="Arial"/>
          <w:sz w:val="20"/>
          <w:szCs w:val="20"/>
          <w:lang w:val="en-US"/>
        </w:rPr>
      </w:pPr>
      <w:r w:rsidRPr="004222BB">
        <w:rPr>
          <w:rFonts w:cs="Arial"/>
          <w:sz w:val="20"/>
          <w:szCs w:val="20"/>
          <w:lang w:val="en-US"/>
        </w:rPr>
        <w:t xml:space="preserve">The Finnish earnings-related pensions </w:t>
      </w:r>
      <w:proofErr w:type="gramStart"/>
      <w:r w:rsidRPr="004222BB">
        <w:rPr>
          <w:rFonts w:cs="Arial"/>
          <w:sz w:val="20"/>
          <w:szCs w:val="20"/>
          <w:lang w:val="en-US"/>
        </w:rPr>
        <w:t>are mainly financed</w:t>
      </w:r>
      <w:proofErr w:type="gramEnd"/>
      <w:r w:rsidRPr="004222BB">
        <w:rPr>
          <w:rFonts w:cs="Arial"/>
          <w:sz w:val="20"/>
          <w:szCs w:val="20"/>
          <w:lang w:val="en-US"/>
        </w:rPr>
        <w:t xml:space="preserve"> by pension insurance contributions paid by employers, employees and self-employed persons. In addition, the government provides some support for the financing of pensions. National pensions and guarantee pensions </w:t>
      </w:r>
      <w:proofErr w:type="gramStart"/>
      <w:r w:rsidRPr="004222BB">
        <w:rPr>
          <w:rFonts w:cs="Arial"/>
          <w:sz w:val="20"/>
          <w:szCs w:val="20"/>
          <w:lang w:val="en-US"/>
        </w:rPr>
        <w:t>are meant</w:t>
      </w:r>
      <w:proofErr w:type="gramEnd"/>
      <w:r w:rsidRPr="004222BB">
        <w:rPr>
          <w:rFonts w:cs="Arial"/>
          <w:sz w:val="20"/>
          <w:szCs w:val="20"/>
          <w:lang w:val="en-US"/>
        </w:rPr>
        <w:t xml:space="preserve"> for those pensioners who have no earnings-related pension or whose pension is very small.</w:t>
      </w:r>
    </w:p>
    <w:p w:rsidR="00CA75EE" w:rsidRPr="004222BB" w:rsidRDefault="00CA75EE" w:rsidP="0059457F">
      <w:pPr>
        <w:ind w:left="360"/>
        <w:rPr>
          <w:rFonts w:cs="Arial"/>
          <w:sz w:val="20"/>
          <w:szCs w:val="20"/>
          <w:lang w:val="en-US"/>
        </w:rPr>
      </w:pPr>
    </w:p>
    <w:p w:rsidR="00CA75EE" w:rsidRPr="004222BB" w:rsidRDefault="00835CBF" w:rsidP="0059457F">
      <w:pPr>
        <w:pStyle w:val="Luettelokappale"/>
        <w:numPr>
          <w:ilvl w:val="1"/>
          <w:numId w:val="5"/>
        </w:numPr>
        <w:rPr>
          <w:rFonts w:ascii="Arial" w:hAnsi="Arial" w:cs="Arial"/>
          <w:i/>
          <w:sz w:val="20"/>
          <w:szCs w:val="20"/>
          <w:lang w:val="en-US"/>
        </w:rPr>
      </w:pPr>
      <w:r w:rsidRPr="004222BB">
        <w:rPr>
          <w:rFonts w:ascii="Arial" w:hAnsi="Arial" w:cs="Arial"/>
          <w:i/>
          <w:sz w:val="20"/>
          <w:szCs w:val="20"/>
          <w:lang w:val="en-US"/>
        </w:rPr>
        <w:t>Adequacy of benefits to guarantee older person’s access to an adequate standard of living and adequate access to health c</w:t>
      </w:r>
      <w:r w:rsidR="00B451A0" w:rsidRPr="004222BB">
        <w:rPr>
          <w:rFonts w:ascii="Arial" w:hAnsi="Arial" w:cs="Arial"/>
          <w:i/>
          <w:sz w:val="20"/>
          <w:szCs w:val="20"/>
          <w:lang w:val="en-US"/>
        </w:rPr>
        <w:t>a</w:t>
      </w:r>
      <w:r w:rsidRPr="004222BB">
        <w:rPr>
          <w:rFonts w:ascii="Arial" w:hAnsi="Arial" w:cs="Arial"/>
          <w:i/>
          <w:sz w:val="20"/>
          <w:szCs w:val="20"/>
          <w:lang w:val="en-US"/>
        </w:rPr>
        <w:t>re</w:t>
      </w:r>
    </w:p>
    <w:p w:rsidR="0098173F" w:rsidRPr="004222BB" w:rsidRDefault="007C3428" w:rsidP="0081631B">
      <w:pPr>
        <w:ind w:left="720"/>
        <w:rPr>
          <w:rFonts w:cs="Arial"/>
          <w:sz w:val="20"/>
          <w:szCs w:val="20"/>
          <w:lang w:val="en-US"/>
        </w:rPr>
      </w:pPr>
      <w:r w:rsidRPr="004222BB">
        <w:rPr>
          <w:rFonts w:cs="Arial"/>
          <w:sz w:val="20"/>
          <w:szCs w:val="20"/>
          <w:lang w:val="en-US"/>
        </w:rPr>
        <w:t xml:space="preserve">In its conclusions to Finland’s report in </w:t>
      </w:r>
      <w:r w:rsidR="001E00F7" w:rsidRPr="004222BB">
        <w:rPr>
          <w:rFonts w:cs="Arial"/>
          <w:sz w:val="20"/>
          <w:szCs w:val="20"/>
          <w:lang w:val="en-US"/>
        </w:rPr>
        <w:t>2017,</w:t>
      </w:r>
      <w:r w:rsidRPr="004222BB">
        <w:rPr>
          <w:rFonts w:cs="Arial"/>
          <w:sz w:val="20"/>
          <w:szCs w:val="20"/>
          <w:lang w:val="en-US"/>
        </w:rPr>
        <w:t xml:space="preserve"> the European Committee of Social Rights has found the following s</w:t>
      </w:r>
      <w:r w:rsidR="007425BA" w:rsidRPr="004222BB">
        <w:rPr>
          <w:rFonts w:cs="Arial"/>
          <w:sz w:val="20"/>
          <w:szCs w:val="20"/>
          <w:lang w:val="en-US"/>
        </w:rPr>
        <w:t>ituations of non-conformity</w:t>
      </w:r>
      <w:r w:rsidRPr="004222BB">
        <w:rPr>
          <w:rFonts w:cs="Arial"/>
          <w:sz w:val="20"/>
          <w:szCs w:val="20"/>
          <w:lang w:val="en-US"/>
        </w:rPr>
        <w:t>:</w:t>
      </w:r>
      <w:r w:rsidR="007425BA" w:rsidRPr="004222BB">
        <w:rPr>
          <w:rFonts w:cs="Arial"/>
          <w:sz w:val="20"/>
          <w:szCs w:val="20"/>
          <w:lang w:val="en-US"/>
        </w:rPr>
        <w:t xml:space="preserve"> </w:t>
      </w:r>
    </w:p>
    <w:p w:rsidR="0098173F" w:rsidRPr="004222BB" w:rsidRDefault="0098173F" w:rsidP="0059457F">
      <w:pPr>
        <w:rPr>
          <w:rFonts w:cs="Arial"/>
          <w:sz w:val="20"/>
          <w:szCs w:val="20"/>
          <w:lang w:val="en-US"/>
        </w:rPr>
      </w:pPr>
    </w:p>
    <w:p w:rsidR="0098173F" w:rsidRPr="004222BB" w:rsidRDefault="007425BA" w:rsidP="0081631B">
      <w:pPr>
        <w:ind w:firstLine="720"/>
        <w:rPr>
          <w:rFonts w:cs="Arial"/>
          <w:sz w:val="20"/>
          <w:szCs w:val="20"/>
          <w:lang w:val="en-US"/>
        </w:rPr>
      </w:pPr>
      <w:r w:rsidRPr="004222BB">
        <w:rPr>
          <w:rFonts w:cs="Arial"/>
          <w:sz w:val="20"/>
          <w:szCs w:val="20"/>
          <w:lang w:val="en-US"/>
        </w:rPr>
        <w:t>►Article 12§1 Right to social security</w:t>
      </w:r>
      <w:r w:rsidR="0098173F" w:rsidRPr="004222BB">
        <w:rPr>
          <w:rFonts w:cs="Arial"/>
          <w:sz w:val="20"/>
          <w:szCs w:val="20"/>
          <w:lang w:val="en-US"/>
        </w:rPr>
        <w:t xml:space="preserve"> – Existence of a social security system</w:t>
      </w:r>
    </w:p>
    <w:p w:rsidR="0098173F" w:rsidRPr="004222BB" w:rsidRDefault="007425BA" w:rsidP="0081631B">
      <w:pPr>
        <w:ind w:firstLine="720"/>
        <w:rPr>
          <w:rFonts w:cs="Arial"/>
          <w:sz w:val="20"/>
          <w:szCs w:val="20"/>
          <w:lang w:val="en-US"/>
        </w:rPr>
      </w:pPr>
      <w:r w:rsidRPr="004222BB">
        <w:rPr>
          <w:rFonts w:cs="Arial"/>
          <w:sz w:val="20"/>
          <w:szCs w:val="20"/>
          <w:lang w:val="en-US"/>
        </w:rPr>
        <w:t xml:space="preserve"> - </w:t>
      </w:r>
      <w:r w:rsidRPr="004222BB">
        <w:rPr>
          <w:rFonts w:cs="Arial"/>
          <w:sz w:val="20"/>
          <w:szCs w:val="20"/>
        </w:rPr>
        <w:t>Τ</w:t>
      </w:r>
      <w:r w:rsidRPr="004222BB">
        <w:rPr>
          <w:rFonts w:cs="Arial"/>
          <w:sz w:val="20"/>
          <w:szCs w:val="20"/>
          <w:lang w:val="en-US"/>
        </w:rPr>
        <w:t>he minimum level of sickness benefits is inadequate</w:t>
      </w:r>
      <w:proofErr w:type="gramStart"/>
      <w:r w:rsidRPr="004222BB">
        <w:rPr>
          <w:rFonts w:cs="Arial"/>
          <w:sz w:val="20"/>
          <w:szCs w:val="20"/>
          <w:lang w:val="en-US"/>
        </w:rPr>
        <w:t>;</w:t>
      </w:r>
      <w:proofErr w:type="gramEnd"/>
      <w:r w:rsidRPr="004222BB">
        <w:rPr>
          <w:rFonts w:cs="Arial"/>
          <w:sz w:val="20"/>
          <w:szCs w:val="20"/>
          <w:lang w:val="en-US"/>
        </w:rPr>
        <w:t xml:space="preserve"> </w:t>
      </w:r>
    </w:p>
    <w:p w:rsidR="0098173F" w:rsidRPr="004222BB" w:rsidRDefault="0098173F" w:rsidP="0059457F">
      <w:pPr>
        <w:rPr>
          <w:rFonts w:cs="Arial"/>
          <w:sz w:val="20"/>
          <w:szCs w:val="20"/>
          <w:lang w:val="en-US"/>
        </w:rPr>
      </w:pPr>
    </w:p>
    <w:p w:rsidR="0098173F" w:rsidRPr="004222BB" w:rsidRDefault="007425BA" w:rsidP="0081631B">
      <w:pPr>
        <w:ind w:left="720"/>
        <w:rPr>
          <w:rFonts w:cs="Arial"/>
          <w:sz w:val="20"/>
          <w:szCs w:val="20"/>
          <w:lang w:val="en-US"/>
        </w:rPr>
      </w:pPr>
      <w:r w:rsidRPr="004222BB">
        <w:rPr>
          <w:rFonts w:cs="Arial"/>
          <w:sz w:val="20"/>
          <w:szCs w:val="20"/>
          <w:lang w:val="en-US"/>
        </w:rPr>
        <w:t>►Article 13§1 – Right to social and medical assistance - Adequate assistance for every person in need</w:t>
      </w:r>
    </w:p>
    <w:p w:rsidR="0098173F" w:rsidRPr="004222BB" w:rsidRDefault="007425BA" w:rsidP="0081631B">
      <w:pPr>
        <w:ind w:left="720"/>
        <w:rPr>
          <w:rFonts w:cs="Arial"/>
          <w:sz w:val="20"/>
          <w:szCs w:val="20"/>
          <w:lang w:val="en-US"/>
        </w:rPr>
      </w:pPr>
      <w:r w:rsidRPr="004222BB">
        <w:rPr>
          <w:rFonts w:cs="Arial"/>
          <w:sz w:val="20"/>
          <w:szCs w:val="20"/>
          <w:lang w:val="en-US"/>
        </w:rPr>
        <w:t>- The amount of social assistance, consisting of basic assistance and any additional benefits that may apply is not adequate</w:t>
      </w:r>
      <w:proofErr w:type="gramStart"/>
      <w:r w:rsidRPr="004222BB">
        <w:rPr>
          <w:rFonts w:cs="Arial"/>
          <w:sz w:val="20"/>
          <w:szCs w:val="20"/>
          <w:lang w:val="en-US"/>
        </w:rPr>
        <w:t>;</w:t>
      </w:r>
      <w:proofErr w:type="gramEnd"/>
      <w:r w:rsidRPr="004222BB">
        <w:rPr>
          <w:rFonts w:cs="Arial"/>
          <w:sz w:val="20"/>
          <w:szCs w:val="20"/>
          <w:lang w:val="en-US"/>
        </w:rPr>
        <w:t xml:space="preserve"> </w:t>
      </w:r>
    </w:p>
    <w:p w:rsidR="007425BA" w:rsidRPr="004222BB" w:rsidRDefault="007425BA" w:rsidP="0081631B">
      <w:pPr>
        <w:ind w:left="720"/>
        <w:rPr>
          <w:rFonts w:cs="Arial"/>
          <w:sz w:val="20"/>
          <w:szCs w:val="20"/>
          <w:lang w:val="en-US"/>
        </w:rPr>
      </w:pPr>
      <w:r w:rsidRPr="004222BB">
        <w:rPr>
          <w:rFonts w:cs="Arial"/>
          <w:sz w:val="20"/>
          <w:szCs w:val="20"/>
          <w:lang w:val="en-US"/>
        </w:rPr>
        <w:t>- The granting of social assistance to nationals of other States Parties is subject to a length of residence requirement of four years.</w:t>
      </w:r>
    </w:p>
    <w:p w:rsidR="0098173F" w:rsidRPr="004222BB" w:rsidRDefault="0098173F" w:rsidP="0059457F">
      <w:pPr>
        <w:rPr>
          <w:rFonts w:cs="Arial"/>
          <w:sz w:val="20"/>
          <w:szCs w:val="20"/>
          <w:lang w:val="en-US"/>
        </w:rPr>
      </w:pPr>
    </w:p>
    <w:p w:rsidR="006E6106" w:rsidRPr="004222BB" w:rsidRDefault="006E6106" w:rsidP="0081631B">
      <w:pPr>
        <w:ind w:left="720"/>
        <w:rPr>
          <w:rFonts w:cs="Arial"/>
          <w:sz w:val="20"/>
          <w:szCs w:val="20"/>
          <w:lang w:val="en-US"/>
        </w:rPr>
      </w:pPr>
      <w:r w:rsidRPr="004222BB">
        <w:rPr>
          <w:rFonts w:cs="Arial"/>
          <w:sz w:val="20"/>
          <w:szCs w:val="20"/>
          <w:lang w:val="en-US"/>
        </w:rPr>
        <w:t>The Committee has been unable to assess compliance with the following rights and has invited the Finnish Government to provide more information in the next report in respect of the following provisions:</w:t>
      </w:r>
    </w:p>
    <w:p w:rsidR="0081631B" w:rsidRDefault="0081631B" w:rsidP="0059457F">
      <w:pPr>
        <w:ind w:left="360"/>
        <w:rPr>
          <w:rFonts w:cs="Arial"/>
          <w:sz w:val="20"/>
          <w:szCs w:val="20"/>
          <w:lang w:val="en-US"/>
        </w:rPr>
      </w:pPr>
    </w:p>
    <w:p w:rsidR="006E6106" w:rsidRPr="004222BB" w:rsidRDefault="006E6106" w:rsidP="0081631B">
      <w:pPr>
        <w:ind w:left="720"/>
        <w:rPr>
          <w:rFonts w:cs="Arial"/>
          <w:sz w:val="20"/>
          <w:szCs w:val="20"/>
          <w:lang w:val="en-US"/>
        </w:rPr>
      </w:pPr>
      <w:r w:rsidRPr="004222BB">
        <w:rPr>
          <w:rFonts w:cs="Arial"/>
          <w:sz w:val="20"/>
          <w:szCs w:val="20"/>
          <w:lang w:val="en-US"/>
        </w:rPr>
        <w:t>Thematic group 2 « Health, social security and social protection » ► Article 13§</w:t>
      </w:r>
      <w:proofErr w:type="gramStart"/>
      <w:r w:rsidRPr="004222BB">
        <w:rPr>
          <w:rFonts w:cs="Arial"/>
          <w:sz w:val="20"/>
          <w:szCs w:val="20"/>
          <w:lang w:val="en-US"/>
        </w:rPr>
        <w:t>4</w:t>
      </w:r>
      <w:proofErr w:type="gramEnd"/>
      <w:r w:rsidRPr="004222BB">
        <w:rPr>
          <w:rFonts w:cs="Arial"/>
          <w:sz w:val="20"/>
          <w:szCs w:val="20"/>
          <w:lang w:val="en-US"/>
        </w:rPr>
        <w:t xml:space="preserve"> - Conclusions 2017 ► Article 23 - Conclusions 2017</w:t>
      </w:r>
      <w:r w:rsidR="00F00D95" w:rsidRPr="004222BB">
        <w:rPr>
          <w:rFonts w:cs="Arial"/>
          <w:sz w:val="20"/>
          <w:szCs w:val="20"/>
          <w:lang w:val="en-US"/>
        </w:rPr>
        <w:t>.</w:t>
      </w:r>
    </w:p>
    <w:p w:rsidR="00C65342" w:rsidRPr="004222BB" w:rsidRDefault="00C65342" w:rsidP="0059457F">
      <w:pPr>
        <w:rPr>
          <w:rFonts w:cs="Arial"/>
          <w:sz w:val="20"/>
          <w:szCs w:val="20"/>
          <w:lang w:val="en-US"/>
        </w:rPr>
      </w:pPr>
    </w:p>
    <w:p w:rsidR="006E6106" w:rsidRPr="004222BB" w:rsidRDefault="006E6106" w:rsidP="0059457F">
      <w:pPr>
        <w:pStyle w:val="Luettelokappale"/>
        <w:rPr>
          <w:rFonts w:ascii="Arial" w:hAnsi="Arial" w:cs="Arial"/>
          <w:sz w:val="20"/>
          <w:szCs w:val="20"/>
          <w:lang w:val="en-US"/>
        </w:rPr>
      </w:pPr>
    </w:p>
    <w:p w:rsidR="00B451A0" w:rsidRPr="004222BB" w:rsidRDefault="00B451A0" w:rsidP="0059457F">
      <w:pPr>
        <w:pStyle w:val="Luettelokappale"/>
        <w:numPr>
          <w:ilvl w:val="1"/>
          <w:numId w:val="5"/>
        </w:numPr>
        <w:rPr>
          <w:rFonts w:ascii="Arial" w:hAnsi="Arial" w:cs="Arial"/>
          <w:i/>
          <w:sz w:val="20"/>
          <w:szCs w:val="20"/>
          <w:lang w:val="en-US"/>
        </w:rPr>
      </w:pPr>
      <w:r w:rsidRPr="004222BB">
        <w:rPr>
          <w:rFonts w:ascii="Arial" w:hAnsi="Arial" w:cs="Arial"/>
          <w:i/>
          <w:sz w:val="20"/>
          <w:szCs w:val="20"/>
          <w:lang w:val="en-US"/>
        </w:rPr>
        <w:t>Accessibility, including older person’s coverage by social security systems eligibility criteria and affordability of contributions</w:t>
      </w:r>
    </w:p>
    <w:p w:rsidR="00B451A0" w:rsidRPr="004222BB" w:rsidRDefault="00B451A0" w:rsidP="0059457F">
      <w:pPr>
        <w:pStyle w:val="Luettelokappale"/>
        <w:numPr>
          <w:ilvl w:val="1"/>
          <w:numId w:val="5"/>
        </w:numPr>
        <w:rPr>
          <w:rFonts w:ascii="Arial" w:hAnsi="Arial" w:cs="Arial"/>
          <w:i/>
          <w:sz w:val="20"/>
          <w:szCs w:val="20"/>
          <w:lang w:val="en-US"/>
        </w:rPr>
      </w:pPr>
      <w:r w:rsidRPr="004222BB">
        <w:rPr>
          <w:rFonts w:ascii="Arial" w:hAnsi="Arial" w:cs="Arial"/>
          <w:i/>
          <w:sz w:val="20"/>
          <w:szCs w:val="20"/>
          <w:lang w:val="en-US"/>
        </w:rPr>
        <w:t xml:space="preserve">Equitable access by older persons to the enjoyment of the right </w:t>
      </w:r>
      <w:r w:rsidR="0053089E" w:rsidRPr="004222BB">
        <w:rPr>
          <w:rFonts w:ascii="Arial" w:hAnsi="Arial" w:cs="Arial"/>
          <w:i/>
          <w:sz w:val="20"/>
          <w:szCs w:val="20"/>
          <w:lang w:val="en-US"/>
        </w:rPr>
        <w:t>to social security and social protection, paying special attention to groups in vulnerable situation</w:t>
      </w:r>
    </w:p>
    <w:p w:rsidR="0053089E" w:rsidRPr="004222BB" w:rsidRDefault="0053089E" w:rsidP="0059457F">
      <w:pPr>
        <w:pStyle w:val="Luettelokappale"/>
        <w:numPr>
          <w:ilvl w:val="1"/>
          <w:numId w:val="5"/>
        </w:numPr>
        <w:rPr>
          <w:rFonts w:ascii="Arial" w:hAnsi="Arial" w:cs="Arial"/>
          <w:i/>
          <w:sz w:val="20"/>
          <w:szCs w:val="20"/>
          <w:lang w:val="en-US"/>
        </w:rPr>
      </w:pPr>
      <w:r w:rsidRPr="004222BB">
        <w:rPr>
          <w:rFonts w:ascii="Arial" w:hAnsi="Arial" w:cs="Arial"/>
          <w:i/>
          <w:sz w:val="20"/>
          <w:szCs w:val="20"/>
          <w:lang w:val="en-US"/>
        </w:rPr>
        <w:t>Participation of older persons in the design and administration of the social security system</w:t>
      </w:r>
    </w:p>
    <w:p w:rsidR="00786DA6" w:rsidRPr="004222BB" w:rsidRDefault="0045439D" w:rsidP="0081631B">
      <w:pPr>
        <w:ind w:left="720"/>
        <w:rPr>
          <w:rFonts w:cs="Arial"/>
          <w:sz w:val="20"/>
          <w:szCs w:val="20"/>
          <w:lang w:val="en-US"/>
        </w:rPr>
      </w:pPr>
      <w:proofErr w:type="gramStart"/>
      <w:r w:rsidRPr="004222BB">
        <w:rPr>
          <w:rFonts w:cs="Arial"/>
          <w:sz w:val="20"/>
          <w:szCs w:val="20"/>
          <w:lang w:val="en-US"/>
        </w:rPr>
        <w:t>According to the Act on Supporting the Functional Capacity of the Older Population and on Social and Health Services for Older Persons</w:t>
      </w:r>
      <w:r w:rsidR="008926F3" w:rsidRPr="004222BB">
        <w:rPr>
          <w:rFonts w:cs="Arial"/>
          <w:sz w:val="20"/>
          <w:szCs w:val="20"/>
          <w:lang w:val="en-US"/>
        </w:rPr>
        <w:t>,</w:t>
      </w:r>
      <w:r w:rsidRPr="004222BB">
        <w:rPr>
          <w:rFonts w:cs="Arial"/>
          <w:sz w:val="20"/>
          <w:szCs w:val="20"/>
          <w:lang w:val="en-US"/>
        </w:rPr>
        <w:t xml:space="preserve"> </w:t>
      </w:r>
      <w:r w:rsidR="008926F3" w:rsidRPr="004222BB">
        <w:rPr>
          <w:rFonts w:cs="Arial"/>
          <w:sz w:val="20"/>
          <w:szCs w:val="20"/>
          <w:lang w:val="en-US"/>
        </w:rPr>
        <w:t>local</w:t>
      </w:r>
      <w:r w:rsidR="00786DA6" w:rsidRPr="004222BB">
        <w:rPr>
          <w:rFonts w:cs="Arial"/>
          <w:sz w:val="20"/>
          <w:szCs w:val="20"/>
          <w:lang w:val="en-US"/>
        </w:rPr>
        <w:t xml:space="preserve"> authorities </w:t>
      </w:r>
      <w:r w:rsidR="00786DA6" w:rsidRPr="004222BB">
        <w:rPr>
          <w:rFonts w:cs="Arial"/>
          <w:sz w:val="20"/>
          <w:szCs w:val="20"/>
          <w:lang w:val="en-US"/>
        </w:rPr>
        <w:lastRenderedPageBreak/>
        <w:t xml:space="preserve">must draw up a plan on measures to support the wellbeing, health, functional capacity and independent living of the older population as well as to </w:t>
      </w:r>
      <w:r w:rsidR="008926F3" w:rsidRPr="004222BB">
        <w:rPr>
          <w:rFonts w:cs="Arial"/>
          <w:sz w:val="20"/>
          <w:szCs w:val="20"/>
          <w:lang w:val="en-US"/>
        </w:rPr>
        <w:t>organize</w:t>
      </w:r>
      <w:r w:rsidR="00786DA6" w:rsidRPr="004222BB">
        <w:rPr>
          <w:rFonts w:cs="Arial"/>
          <w:sz w:val="20"/>
          <w:szCs w:val="20"/>
          <w:lang w:val="en-US"/>
        </w:rPr>
        <w:t xml:space="preserve"> and develop the services and informal care needed by older persons.</w:t>
      </w:r>
      <w:proofErr w:type="gramEnd"/>
      <w:r w:rsidR="00786DA6" w:rsidRPr="004222BB">
        <w:rPr>
          <w:rFonts w:cs="Arial"/>
          <w:sz w:val="20"/>
          <w:szCs w:val="20"/>
          <w:lang w:val="en-US"/>
        </w:rPr>
        <w:t xml:space="preserve"> The plan must underpin living in the own home and measures to promote rehabilitation. The plan </w:t>
      </w:r>
      <w:proofErr w:type="gramStart"/>
      <w:r w:rsidR="00786DA6" w:rsidRPr="004222BB">
        <w:rPr>
          <w:rFonts w:cs="Arial"/>
          <w:sz w:val="20"/>
          <w:szCs w:val="20"/>
          <w:lang w:val="en-US"/>
        </w:rPr>
        <w:t>must be drawn up</w:t>
      </w:r>
      <w:proofErr w:type="gramEnd"/>
      <w:r w:rsidR="00786DA6" w:rsidRPr="004222BB">
        <w:rPr>
          <w:rFonts w:cs="Arial"/>
          <w:sz w:val="20"/>
          <w:szCs w:val="20"/>
          <w:lang w:val="en-US"/>
        </w:rPr>
        <w:t xml:space="preserve"> as a part of the strategic planning of local authorities. The </w:t>
      </w:r>
      <w:r w:rsidR="008926F3" w:rsidRPr="004222BB">
        <w:rPr>
          <w:rFonts w:cs="Arial"/>
          <w:sz w:val="20"/>
          <w:szCs w:val="20"/>
          <w:lang w:val="en-US"/>
        </w:rPr>
        <w:t>local council approves the plan</w:t>
      </w:r>
      <w:r w:rsidR="00786DA6" w:rsidRPr="004222BB">
        <w:rPr>
          <w:rFonts w:cs="Arial"/>
          <w:sz w:val="20"/>
          <w:szCs w:val="20"/>
          <w:lang w:val="en-US"/>
        </w:rPr>
        <w:t xml:space="preserve">, and it has to </w:t>
      </w:r>
      <w:proofErr w:type="gramStart"/>
      <w:r w:rsidR="00786DA6" w:rsidRPr="004222BB">
        <w:rPr>
          <w:rFonts w:cs="Arial"/>
          <w:sz w:val="20"/>
          <w:szCs w:val="20"/>
          <w:lang w:val="en-US"/>
        </w:rPr>
        <w:t>be updated</w:t>
      </w:r>
      <w:proofErr w:type="gramEnd"/>
      <w:r w:rsidR="00786DA6" w:rsidRPr="004222BB">
        <w:rPr>
          <w:rFonts w:cs="Arial"/>
          <w:sz w:val="20"/>
          <w:szCs w:val="20"/>
          <w:lang w:val="en-US"/>
        </w:rPr>
        <w:t xml:space="preserve"> every term of office of the council. In addition, the decision-making body responsible for social welfare in the municipality must annually evaluate the adequacy and quality of social services needed by older persons in its area. </w:t>
      </w:r>
    </w:p>
    <w:p w:rsidR="00786DA6" w:rsidRPr="004222BB" w:rsidRDefault="00786DA6" w:rsidP="0059457F">
      <w:pPr>
        <w:ind w:left="360"/>
        <w:rPr>
          <w:rFonts w:cs="Arial"/>
          <w:sz w:val="20"/>
          <w:szCs w:val="20"/>
          <w:lang w:val="en-US"/>
        </w:rPr>
      </w:pPr>
    </w:p>
    <w:p w:rsidR="00786DA6" w:rsidRDefault="00786DA6" w:rsidP="0081631B">
      <w:pPr>
        <w:ind w:left="720"/>
        <w:rPr>
          <w:rFonts w:cs="Arial"/>
          <w:sz w:val="20"/>
          <w:szCs w:val="20"/>
          <w:lang w:val="en-US"/>
        </w:rPr>
      </w:pPr>
      <w:r w:rsidRPr="004222BB">
        <w:rPr>
          <w:rFonts w:cs="Arial"/>
          <w:sz w:val="20"/>
          <w:szCs w:val="20"/>
          <w:lang w:val="en-US"/>
        </w:rPr>
        <w:t xml:space="preserve">The local authorities must establish a council for older people to ensure the older population’s opportunities to participate and exert influence as well as see to it that the council has the </w:t>
      </w:r>
      <w:r w:rsidR="008926F3" w:rsidRPr="004222BB">
        <w:rPr>
          <w:rFonts w:cs="Arial"/>
          <w:sz w:val="20"/>
          <w:szCs w:val="20"/>
          <w:lang w:val="en-US"/>
        </w:rPr>
        <w:t>prerequisites</w:t>
      </w:r>
      <w:r w:rsidRPr="004222BB">
        <w:rPr>
          <w:rFonts w:cs="Arial"/>
          <w:sz w:val="20"/>
          <w:szCs w:val="20"/>
          <w:lang w:val="en-US"/>
        </w:rPr>
        <w:t xml:space="preserve"> for its operation. </w:t>
      </w:r>
    </w:p>
    <w:p w:rsidR="0081631B" w:rsidRPr="004222BB" w:rsidRDefault="0081631B" w:rsidP="0059457F">
      <w:pPr>
        <w:ind w:left="360"/>
        <w:rPr>
          <w:rFonts w:cs="Arial"/>
          <w:sz w:val="20"/>
          <w:szCs w:val="20"/>
          <w:lang w:val="en-US"/>
        </w:rPr>
      </w:pPr>
    </w:p>
    <w:p w:rsidR="00786DA6" w:rsidRPr="004222BB" w:rsidRDefault="00786DA6" w:rsidP="0081631B">
      <w:pPr>
        <w:ind w:left="720"/>
        <w:rPr>
          <w:rFonts w:cs="Arial"/>
          <w:sz w:val="20"/>
          <w:szCs w:val="20"/>
          <w:lang w:val="en-US"/>
        </w:rPr>
      </w:pPr>
      <w:r w:rsidRPr="004222BB">
        <w:rPr>
          <w:rFonts w:cs="Arial"/>
          <w:sz w:val="20"/>
          <w:szCs w:val="20"/>
          <w:lang w:val="en-US"/>
        </w:rPr>
        <w:t xml:space="preserve">The council for older people must be included in the preparation of the above-mentioned plan and evaluation. </w:t>
      </w:r>
      <w:proofErr w:type="gramStart"/>
      <w:r w:rsidRPr="004222BB">
        <w:rPr>
          <w:rFonts w:cs="Arial"/>
          <w:sz w:val="20"/>
          <w:szCs w:val="20"/>
          <w:lang w:val="en-US"/>
        </w:rPr>
        <w:t>The council must, in addition to these tasks, be provided an opportunity to influence the planning, preparation and monitoring of actions in the different spheres of responsibility of the municipality in regard to matters that are of significance for the wellbeing, health, inclusion, living environment, housing, mobility and daily activities of older persons or for the services needed by the older population.</w:t>
      </w:r>
      <w:proofErr w:type="gramEnd"/>
    </w:p>
    <w:p w:rsidR="00786DA6" w:rsidRPr="004222BB" w:rsidRDefault="00786DA6" w:rsidP="0059457F">
      <w:pPr>
        <w:ind w:left="360"/>
        <w:rPr>
          <w:rFonts w:cs="Arial"/>
          <w:sz w:val="20"/>
          <w:szCs w:val="20"/>
          <w:lang w:val="en-US"/>
        </w:rPr>
      </w:pPr>
    </w:p>
    <w:p w:rsidR="00786DA6" w:rsidRPr="004222BB" w:rsidRDefault="00786DA6" w:rsidP="0081631B">
      <w:pPr>
        <w:ind w:left="720"/>
        <w:rPr>
          <w:rFonts w:cs="Arial"/>
          <w:sz w:val="20"/>
          <w:szCs w:val="20"/>
          <w:lang w:val="en-US"/>
        </w:rPr>
      </w:pPr>
      <w:r w:rsidRPr="004222BB">
        <w:rPr>
          <w:rFonts w:cs="Arial"/>
          <w:sz w:val="20"/>
          <w:szCs w:val="20"/>
          <w:lang w:val="en-US"/>
        </w:rPr>
        <w:t xml:space="preserve">In the design of new legislation </w:t>
      </w:r>
      <w:r w:rsidR="003225C3" w:rsidRPr="004222BB">
        <w:rPr>
          <w:rFonts w:cs="Arial"/>
          <w:sz w:val="20"/>
          <w:szCs w:val="20"/>
          <w:lang w:val="en-US"/>
        </w:rPr>
        <w:t xml:space="preserve">regarding services for older people </w:t>
      </w:r>
      <w:r w:rsidR="005419D0" w:rsidRPr="004222BB">
        <w:rPr>
          <w:rFonts w:cs="Arial"/>
          <w:sz w:val="20"/>
          <w:szCs w:val="20"/>
          <w:lang w:val="en-US"/>
        </w:rPr>
        <w:t>the Ministry of Social A</w:t>
      </w:r>
      <w:r w:rsidR="003225C3" w:rsidRPr="004222BB">
        <w:rPr>
          <w:rFonts w:cs="Arial"/>
          <w:sz w:val="20"/>
          <w:szCs w:val="20"/>
          <w:lang w:val="en-US"/>
        </w:rPr>
        <w:t xml:space="preserve">ffairs and Health hears their </w:t>
      </w:r>
      <w:r w:rsidR="00EC4664" w:rsidRPr="004222BB">
        <w:rPr>
          <w:rFonts w:cs="Arial"/>
          <w:sz w:val="20"/>
          <w:szCs w:val="20"/>
          <w:lang w:val="en-US"/>
        </w:rPr>
        <w:t>organizations</w:t>
      </w:r>
      <w:r w:rsidR="003225C3" w:rsidRPr="004222BB">
        <w:rPr>
          <w:rFonts w:cs="Arial"/>
          <w:sz w:val="20"/>
          <w:szCs w:val="20"/>
          <w:lang w:val="en-US"/>
        </w:rPr>
        <w:t>.</w:t>
      </w:r>
    </w:p>
    <w:p w:rsidR="00B451A0" w:rsidRPr="004222BB" w:rsidRDefault="00B451A0" w:rsidP="0059457F">
      <w:pPr>
        <w:pStyle w:val="Luettelokappale"/>
        <w:ind w:left="360"/>
        <w:rPr>
          <w:rFonts w:ascii="Arial" w:hAnsi="Arial" w:cs="Arial"/>
          <w:sz w:val="20"/>
          <w:szCs w:val="20"/>
          <w:lang w:val="en-US"/>
        </w:rPr>
      </w:pPr>
    </w:p>
    <w:p w:rsidR="00FC54BA" w:rsidRPr="004222BB" w:rsidRDefault="00FC54BA" w:rsidP="0059457F">
      <w:pPr>
        <w:pStyle w:val="Luettelokappale"/>
        <w:ind w:left="360"/>
        <w:rPr>
          <w:rFonts w:ascii="Arial" w:hAnsi="Arial" w:cs="Arial"/>
          <w:b/>
          <w:sz w:val="20"/>
          <w:szCs w:val="20"/>
          <w:lang w:val="en-US"/>
        </w:rPr>
      </w:pPr>
      <w:r w:rsidRPr="004222BB">
        <w:rPr>
          <w:rFonts w:ascii="Arial" w:hAnsi="Arial" w:cs="Arial"/>
          <w:b/>
          <w:sz w:val="20"/>
          <w:szCs w:val="20"/>
          <w:lang w:val="en-US"/>
        </w:rPr>
        <w:t>State obligations</w:t>
      </w:r>
    </w:p>
    <w:p w:rsidR="00B451A0" w:rsidRPr="004222BB" w:rsidRDefault="00B451A0" w:rsidP="0059457F">
      <w:pPr>
        <w:pStyle w:val="Luettelokappale"/>
        <w:ind w:left="360"/>
        <w:rPr>
          <w:rFonts w:ascii="Arial" w:hAnsi="Arial" w:cs="Arial"/>
          <w:sz w:val="20"/>
          <w:szCs w:val="20"/>
          <w:lang w:val="en-US"/>
        </w:rPr>
      </w:pPr>
      <w:r w:rsidRPr="004222BB">
        <w:rPr>
          <w:rFonts w:ascii="Arial" w:hAnsi="Arial" w:cs="Arial"/>
          <w:sz w:val="20"/>
          <w:szCs w:val="20"/>
          <w:lang w:val="en-US"/>
        </w:rPr>
        <w:t xml:space="preserve"> </w:t>
      </w:r>
    </w:p>
    <w:p w:rsidR="00FC54BA" w:rsidRPr="004222BB" w:rsidRDefault="00FC54BA" w:rsidP="0059457F">
      <w:pPr>
        <w:pStyle w:val="Luettelokappale"/>
        <w:numPr>
          <w:ilvl w:val="0"/>
          <w:numId w:val="4"/>
        </w:numPr>
        <w:rPr>
          <w:rFonts w:ascii="Arial" w:hAnsi="Arial" w:cs="Arial"/>
          <w:i/>
          <w:sz w:val="20"/>
          <w:szCs w:val="20"/>
          <w:lang w:val="en-US"/>
        </w:rPr>
      </w:pPr>
      <w:r w:rsidRPr="004222BB">
        <w:rPr>
          <w:rFonts w:ascii="Arial" w:hAnsi="Arial" w:cs="Arial"/>
          <w:i/>
          <w:sz w:val="20"/>
          <w:szCs w:val="20"/>
          <w:lang w:val="en-US"/>
        </w:rPr>
        <w:t xml:space="preserve">What are the measures that should be undertaken by the State to </w:t>
      </w:r>
      <w:proofErr w:type="gramStart"/>
      <w:r w:rsidR="008926F3" w:rsidRPr="004222BB">
        <w:rPr>
          <w:rFonts w:ascii="Arial" w:hAnsi="Arial" w:cs="Arial"/>
          <w:i/>
          <w:sz w:val="20"/>
          <w:szCs w:val="20"/>
          <w:lang w:val="en-US"/>
        </w:rPr>
        <w:t>respect,</w:t>
      </w:r>
      <w:proofErr w:type="gramEnd"/>
      <w:r w:rsidRPr="004222BB">
        <w:rPr>
          <w:rFonts w:ascii="Arial" w:hAnsi="Arial" w:cs="Arial"/>
          <w:i/>
          <w:sz w:val="20"/>
          <w:szCs w:val="20"/>
          <w:lang w:val="en-US"/>
        </w:rPr>
        <w:t xml:space="preserve"> protect and fulfill the right to social security and social protection for older persons, regarding the normative elements as provided above?</w:t>
      </w:r>
    </w:p>
    <w:p w:rsidR="00FC54BA" w:rsidRPr="004222BB" w:rsidRDefault="00FC54BA" w:rsidP="0059457F">
      <w:pPr>
        <w:rPr>
          <w:rFonts w:cs="Arial"/>
          <w:i/>
          <w:sz w:val="20"/>
          <w:szCs w:val="20"/>
          <w:lang w:val="en-US"/>
        </w:rPr>
      </w:pPr>
    </w:p>
    <w:p w:rsidR="00FC54BA" w:rsidRPr="004222BB" w:rsidRDefault="00FC54BA" w:rsidP="0059457F">
      <w:pPr>
        <w:ind w:left="360"/>
        <w:rPr>
          <w:rFonts w:cs="Arial"/>
          <w:b/>
          <w:sz w:val="20"/>
          <w:szCs w:val="20"/>
          <w:lang w:val="en-US"/>
        </w:rPr>
      </w:pPr>
      <w:r w:rsidRPr="004222BB">
        <w:rPr>
          <w:rFonts w:cs="Arial"/>
          <w:b/>
          <w:sz w:val="20"/>
          <w:szCs w:val="20"/>
          <w:lang w:val="en-US"/>
        </w:rPr>
        <w:t>Special considerations</w:t>
      </w:r>
    </w:p>
    <w:p w:rsidR="00FC54BA" w:rsidRPr="004222BB" w:rsidRDefault="00FC54BA" w:rsidP="0059457F">
      <w:pPr>
        <w:ind w:left="360"/>
        <w:rPr>
          <w:rFonts w:cs="Arial"/>
          <w:b/>
          <w:sz w:val="20"/>
          <w:szCs w:val="20"/>
          <w:lang w:val="en-US"/>
        </w:rPr>
      </w:pPr>
    </w:p>
    <w:p w:rsidR="00FC54BA" w:rsidRPr="004222BB" w:rsidRDefault="00FC54BA" w:rsidP="0059457F">
      <w:pPr>
        <w:pStyle w:val="Luettelokappale"/>
        <w:numPr>
          <w:ilvl w:val="0"/>
          <w:numId w:val="4"/>
        </w:numPr>
        <w:rPr>
          <w:rFonts w:ascii="Arial" w:hAnsi="Arial" w:cs="Arial"/>
          <w:b/>
          <w:i/>
          <w:sz w:val="20"/>
          <w:szCs w:val="20"/>
          <w:lang w:val="en-US"/>
        </w:rPr>
      </w:pPr>
      <w:r w:rsidRPr="004222BB">
        <w:rPr>
          <w:rFonts w:ascii="Arial" w:hAnsi="Arial" w:cs="Arial"/>
          <w:i/>
          <w:sz w:val="20"/>
          <w:szCs w:val="20"/>
          <w:lang w:val="en-US"/>
        </w:rPr>
        <w:t xml:space="preserve">What special measures and specific considerations </w:t>
      </w:r>
      <w:proofErr w:type="gramStart"/>
      <w:r w:rsidRPr="004222BB">
        <w:rPr>
          <w:rFonts w:ascii="Arial" w:hAnsi="Arial" w:cs="Arial"/>
          <w:i/>
          <w:sz w:val="20"/>
          <w:szCs w:val="20"/>
          <w:lang w:val="en-US"/>
        </w:rPr>
        <w:t>should be considered</w:t>
      </w:r>
      <w:proofErr w:type="gramEnd"/>
      <w:r w:rsidRPr="004222BB">
        <w:rPr>
          <w:rFonts w:ascii="Arial" w:hAnsi="Arial" w:cs="Arial"/>
          <w:i/>
          <w:sz w:val="20"/>
          <w:szCs w:val="20"/>
          <w:lang w:val="en-US"/>
        </w:rPr>
        <w:t xml:space="preserve"> in developing the normative content on the right of older persons to social protection and social security?</w:t>
      </w:r>
    </w:p>
    <w:p w:rsidR="00413CCA" w:rsidRPr="004222BB" w:rsidRDefault="00A6179A" w:rsidP="0081631B">
      <w:pPr>
        <w:ind w:left="643"/>
        <w:rPr>
          <w:rFonts w:cs="Arial"/>
          <w:sz w:val="20"/>
          <w:szCs w:val="20"/>
          <w:lang w:val="en-US"/>
        </w:rPr>
      </w:pPr>
      <w:r w:rsidRPr="004222BB">
        <w:rPr>
          <w:rFonts w:cs="Arial"/>
          <w:sz w:val="20"/>
          <w:szCs w:val="20"/>
          <w:lang w:val="en-US"/>
        </w:rPr>
        <w:t xml:space="preserve">Specific areas of concern in Finland are the affordability and availability of care, </w:t>
      </w:r>
      <w:r w:rsidR="008926F3" w:rsidRPr="004222BB">
        <w:rPr>
          <w:rFonts w:cs="Arial"/>
          <w:sz w:val="20"/>
          <w:szCs w:val="20"/>
          <w:lang w:val="en-US"/>
        </w:rPr>
        <w:t>especially</w:t>
      </w:r>
      <w:r w:rsidRPr="004222BB">
        <w:rPr>
          <w:rFonts w:cs="Arial"/>
          <w:sz w:val="20"/>
          <w:szCs w:val="20"/>
          <w:lang w:val="en-US"/>
        </w:rPr>
        <w:t xml:space="preserve"> </w:t>
      </w:r>
      <w:r w:rsidR="008926F3" w:rsidRPr="004222BB">
        <w:rPr>
          <w:rFonts w:cs="Arial"/>
          <w:sz w:val="20"/>
          <w:szCs w:val="20"/>
          <w:lang w:val="en-US"/>
        </w:rPr>
        <w:t>long-term</w:t>
      </w:r>
      <w:r w:rsidRPr="004222BB">
        <w:rPr>
          <w:rFonts w:cs="Arial"/>
          <w:sz w:val="20"/>
          <w:szCs w:val="20"/>
          <w:lang w:val="en-US"/>
        </w:rPr>
        <w:t xml:space="preserve"> care, for older persons.</w:t>
      </w:r>
      <w:r w:rsidR="00413CCA" w:rsidRPr="004222BB">
        <w:rPr>
          <w:rFonts w:cs="Arial"/>
          <w:sz w:val="20"/>
          <w:szCs w:val="20"/>
          <w:lang w:val="en-US"/>
        </w:rPr>
        <w:t xml:space="preserve"> </w:t>
      </w:r>
    </w:p>
    <w:p w:rsidR="00413CCA" w:rsidRPr="004222BB" w:rsidRDefault="00413CCA" w:rsidP="0059457F">
      <w:pPr>
        <w:ind w:left="643"/>
        <w:rPr>
          <w:rFonts w:cs="Arial"/>
          <w:sz w:val="20"/>
          <w:szCs w:val="20"/>
          <w:lang w:val="en-US"/>
        </w:rPr>
      </w:pPr>
    </w:p>
    <w:p w:rsidR="00413CCA" w:rsidRPr="004222BB" w:rsidRDefault="00413CCA" w:rsidP="0081631B">
      <w:pPr>
        <w:ind w:left="643"/>
        <w:rPr>
          <w:rFonts w:cs="Arial"/>
          <w:sz w:val="20"/>
          <w:szCs w:val="20"/>
          <w:lang w:val="en-US"/>
        </w:rPr>
      </w:pPr>
      <w:r w:rsidRPr="004222BB">
        <w:rPr>
          <w:rFonts w:cs="Arial"/>
          <w:sz w:val="20"/>
          <w:szCs w:val="20"/>
          <w:lang w:val="en-US"/>
        </w:rPr>
        <w:t>Access to justice is one problem in social and health services. Social or health services for older people do not constitu</w:t>
      </w:r>
      <w:r w:rsidR="00A6179A" w:rsidRPr="004222BB">
        <w:rPr>
          <w:rFonts w:cs="Arial"/>
          <w:sz w:val="20"/>
          <w:szCs w:val="20"/>
          <w:lang w:val="en-US"/>
        </w:rPr>
        <w:t xml:space="preserve">te a subjective right and there is not always an effective legal remedy available when their rights </w:t>
      </w:r>
      <w:proofErr w:type="gramStart"/>
      <w:r w:rsidR="00A6179A" w:rsidRPr="004222BB">
        <w:rPr>
          <w:rFonts w:cs="Arial"/>
          <w:sz w:val="20"/>
          <w:szCs w:val="20"/>
          <w:lang w:val="en-US"/>
        </w:rPr>
        <w:t>are not met</w:t>
      </w:r>
      <w:proofErr w:type="gramEnd"/>
      <w:r w:rsidRPr="004222BB">
        <w:rPr>
          <w:rFonts w:cs="Arial"/>
          <w:sz w:val="20"/>
          <w:szCs w:val="20"/>
          <w:lang w:val="en-US"/>
        </w:rPr>
        <w:t>.</w:t>
      </w:r>
    </w:p>
    <w:p w:rsidR="002C543B" w:rsidRPr="004222BB" w:rsidRDefault="002C543B" w:rsidP="0059457F">
      <w:pPr>
        <w:ind w:left="643"/>
        <w:rPr>
          <w:rFonts w:cs="Arial"/>
          <w:sz w:val="20"/>
          <w:szCs w:val="20"/>
          <w:lang w:val="en-US"/>
        </w:rPr>
      </w:pPr>
    </w:p>
    <w:p w:rsidR="002C543B" w:rsidRPr="004222BB" w:rsidRDefault="002C543B" w:rsidP="0081631B">
      <w:pPr>
        <w:ind w:left="643"/>
        <w:rPr>
          <w:rFonts w:cs="Arial"/>
          <w:sz w:val="20"/>
          <w:szCs w:val="20"/>
          <w:lang w:val="en-US"/>
        </w:rPr>
      </w:pPr>
      <w:r w:rsidRPr="004222BB">
        <w:rPr>
          <w:rFonts w:cs="Arial"/>
          <w:sz w:val="20"/>
          <w:szCs w:val="20"/>
          <w:lang w:val="en-US"/>
        </w:rPr>
        <w:t xml:space="preserve">Prime Minister Antti </w:t>
      </w:r>
      <w:proofErr w:type="spellStart"/>
      <w:r w:rsidRPr="004222BB">
        <w:rPr>
          <w:rFonts w:cs="Arial"/>
          <w:sz w:val="20"/>
          <w:szCs w:val="20"/>
          <w:lang w:val="en-US"/>
        </w:rPr>
        <w:t>Rinne’s</w:t>
      </w:r>
      <w:proofErr w:type="spellEnd"/>
      <w:r w:rsidRPr="004222BB">
        <w:rPr>
          <w:rFonts w:cs="Arial"/>
          <w:sz w:val="20"/>
          <w:szCs w:val="20"/>
          <w:lang w:val="en-US"/>
        </w:rPr>
        <w:t xml:space="preserve"> Government is, according to its </w:t>
      </w:r>
      <w:proofErr w:type="spellStart"/>
      <w:r w:rsidRPr="004222BB">
        <w:rPr>
          <w:rFonts w:cs="Arial"/>
          <w:sz w:val="20"/>
          <w:szCs w:val="20"/>
          <w:lang w:val="en-US"/>
        </w:rPr>
        <w:t>programme</w:t>
      </w:r>
      <w:proofErr w:type="spellEnd"/>
      <w:r w:rsidRPr="004222BB">
        <w:rPr>
          <w:rFonts w:cs="Arial"/>
          <w:sz w:val="20"/>
          <w:szCs w:val="20"/>
          <w:lang w:val="en-US"/>
        </w:rPr>
        <w:t xml:space="preserve">, going to try </w:t>
      </w:r>
      <w:r w:rsidR="008926F3" w:rsidRPr="004222BB">
        <w:rPr>
          <w:rFonts w:cs="Arial"/>
          <w:sz w:val="20"/>
          <w:szCs w:val="20"/>
          <w:lang w:val="en-US"/>
        </w:rPr>
        <w:t>to</w:t>
      </w:r>
      <w:r w:rsidRPr="004222BB">
        <w:rPr>
          <w:rFonts w:cs="Arial"/>
          <w:sz w:val="20"/>
          <w:szCs w:val="20"/>
          <w:lang w:val="en-US"/>
        </w:rPr>
        <w:t xml:space="preserve"> amend the situation. The government is going to improve the quality and effectiveness of services, by amending the Act on Care Services for Older Persons comprehensively, and by enacting a statutory minimum staffing level of 0.7 for care personnel in units providing 24-hour care. Care intensity </w:t>
      </w:r>
      <w:proofErr w:type="gramStart"/>
      <w:r w:rsidRPr="004222BB">
        <w:rPr>
          <w:rFonts w:cs="Arial"/>
          <w:sz w:val="20"/>
          <w:szCs w:val="20"/>
          <w:lang w:val="en-US"/>
        </w:rPr>
        <w:t>will be used</w:t>
      </w:r>
      <w:proofErr w:type="gramEnd"/>
      <w:r w:rsidRPr="004222BB">
        <w:rPr>
          <w:rFonts w:cs="Arial"/>
          <w:sz w:val="20"/>
          <w:szCs w:val="20"/>
          <w:lang w:val="en-US"/>
        </w:rPr>
        <w:t xml:space="preserve"> as the main criterion for determining appropriate staffing levels. An office of an ombudsperson on older people’s rights </w:t>
      </w:r>
      <w:proofErr w:type="gramStart"/>
      <w:r w:rsidRPr="004222BB">
        <w:rPr>
          <w:rFonts w:cs="Arial"/>
          <w:sz w:val="20"/>
          <w:szCs w:val="20"/>
          <w:lang w:val="en-US"/>
        </w:rPr>
        <w:t>will be established</w:t>
      </w:r>
      <w:proofErr w:type="gramEnd"/>
      <w:r w:rsidRPr="004222BB">
        <w:rPr>
          <w:rFonts w:cs="Arial"/>
          <w:sz w:val="20"/>
          <w:szCs w:val="20"/>
          <w:lang w:val="en-US"/>
        </w:rPr>
        <w:t>. The government also plans to develop the quality and resourcing of home care and develop informal care.</w:t>
      </w:r>
    </w:p>
    <w:p w:rsidR="002C543B" w:rsidRPr="004222BB" w:rsidRDefault="002C543B" w:rsidP="0059457F">
      <w:pPr>
        <w:ind w:left="643"/>
        <w:rPr>
          <w:rFonts w:cs="Arial"/>
          <w:sz w:val="20"/>
          <w:szCs w:val="20"/>
          <w:lang w:val="en-US"/>
        </w:rPr>
      </w:pPr>
    </w:p>
    <w:p w:rsidR="002C543B" w:rsidRPr="004222BB" w:rsidRDefault="002C543B" w:rsidP="0059457F">
      <w:pPr>
        <w:ind w:left="643"/>
        <w:rPr>
          <w:rFonts w:cs="Arial"/>
          <w:b/>
          <w:sz w:val="20"/>
          <w:szCs w:val="20"/>
          <w:lang w:val="en-US"/>
        </w:rPr>
      </w:pPr>
    </w:p>
    <w:p w:rsidR="008171A4" w:rsidRPr="004222BB" w:rsidRDefault="008171A4" w:rsidP="0059457F">
      <w:pPr>
        <w:rPr>
          <w:rFonts w:cs="Arial"/>
          <w:b/>
          <w:sz w:val="20"/>
          <w:szCs w:val="20"/>
          <w:lang w:val="en-US"/>
        </w:rPr>
      </w:pPr>
    </w:p>
    <w:p w:rsidR="00FC54BA" w:rsidRPr="004222BB" w:rsidRDefault="00FC54BA" w:rsidP="0059457F">
      <w:pPr>
        <w:pStyle w:val="Luettelokappale"/>
        <w:numPr>
          <w:ilvl w:val="0"/>
          <w:numId w:val="4"/>
        </w:numPr>
        <w:rPr>
          <w:rFonts w:ascii="Arial" w:hAnsi="Arial" w:cs="Arial"/>
          <w:b/>
          <w:i/>
          <w:sz w:val="20"/>
          <w:szCs w:val="20"/>
          <w:lang w:val="en-US"/>
        </w:rPr>
      </w:pPr>
      <w:r w:rsidRPr="004222BB">
        <w:rPr>
          <w:rFonts w:ascii="Arial" w:hAnsi="Arial" w:cs="Arial"/>
          <w:i/>
          <w:sz w:val="20"/>
          <w:szCs w:val="20"/>
          <w:lang w:val="en-US"/>
        </w:rPr>
        <w:lastRenderedPageBreak/>
        <w:t xml:space="preserve">How </w:t>
      </w:r>
      <w:proofErr w:type="gramStart"/>
      <w:r w:rsidRPr="004222BB">
        <w:rPr>
          <w:rFonts w:ascii="Arial" w:hAnsi="Arial" w:cs="Arial"/>
          <w:i/>
          <w:sz w:val="20"/>
          <w:szCs w:val="20"/>
          <w:lang w:val="en-US"/>
        </w:rPr>
        <w:t>should the responsibilities of non-State parties such as private sector be defined</w:t>
      </w:r>
      <w:proofErr w:type="gramEnd"/>
      <w:r w:rsidRPr="004222BB">
        <w:rPr>
          <w:rFonts w:ascii="Arial" w:hAnsi="Arial" w:cs="Arial"/>
          <w:i/>
          <w:sz w:val="20"/>
          <w:szCs w:val="20"/>
          <w:lang w:val="en-US"/>
        </w:rPr>
        <w:t xml:space="preserve"> in the context of the right of older persons to social protection and social security?</w:t>
      </w:r>
    </w:p>
    <w:p w:rsidR="00374E33" w:rsidRPr="004222BB" w:rsidRDefault="00374E33" w:rsidP="0059457F">
      <w:pPr>
        <w:rPr>
          <w:rFonts w:cs="Arial"/>
          <w:b/>
          <w:sz w:val="20"/>
          <w:szCs w:val="20"/>
          <w:lang w:val="en-US"/>
        </w:rPr>
      </w:pPr>
    </w:p>
    <w:p w:rsidR="00CD1832" w:rsidRPr="004222BB" w:rsidRDefault="00C00D1C" w:rsidP="0081631B">
      <w:pPr>
        <w:ind w:left="643"/>
        <w:rPr>
          <w:rFonts w:cs="Arial"/>
          <w:sz w:val="20"/>
          <w:szCs w:val="20"/>
          <w:lang w:val="en-US"/>
        </w:rPr>
      </w:pPr>
      <w:r w:rsidRPr="004222BB">
        <w:rPr>
          <w:rFonts w:cs="Arial"/>
          <w:sz w:val="20"/>
          <w:szCs w:val="20"/>
          <w:lang w:val="en-US"/>
        </w:rPr>
        <w:t xml:space="preserve">According to the </w:t>
      </w:r>
      <w:r w:rsidRPr="004222BB">
        <w:rPr>
          <w:rFonts w:cs="Arial"/>
          <w:i/>
          <w:iCs/>
          <w:sz w:val="20"/>
          <w:szCs w:val="20"/>
          <w:lang w:val="en-US"/>
        </w:rPr>
        <w:t xml:space="preserve">Section 22 - Protection of basic rights and liberties </w:t>
      </w:r>
      <w:r w:rsidR="00330AE4" w:rsidRPr="004222BB">
        <w:rPr>
          <w:rFonts w:cs="Arial"/>
          <w:i/>
          <w:iCs/>
          <w:sz w:val="20"/>
          <w:szCs w:val="20"/>
          <w:lang w:val="en-US"/>
        </w:rPr>
        <w:t xml:space="preserve">- </w:t>
      </w:r>
      <w:r w:rsidRPr="004222BB">
        <w:rPr>
          <w:rFonts w:cs="Arial"/>
          <w:iCs/>
          <w:sz w:val="20"/>
          <w:szCs w:val="20"/>
          <w:lang w:val="en-US"/>
        </w:rPr>
        <w:t xml:space="preserve">of the Constitution of </w:t>
      </w:r>
      <w:r w:rsidR="008926F3" w:rsidRPr="004222BB">
        <w:rPr>
          <w:rFonts w:cs="Arial"/>
          <w:iCs/>
          <w:sz w:val="20"/>
          <w:szCs w:val="20"/>
          <w:lang w:val="en-US"/>
        </w:rPr>
        <w:t>Finland,</w:t>
      </w:r>
      <w:r w:rsidRPr="004222BB">
        <w:rPr>
          <w:rFonts w:cs="Arial"/>
          <w:iCs/>
          <w:sz w:val="20"/>
          <w:szCs w:val="20"/>
          <w:lang w:val="en-US"/>
        </w:rPr>
        <w:t xml:space="preserve"> t</w:t>
      </w:r>
      <w:r w:rsidRPr="004222BB">
        <w:rPr>
          <w:rFonts w:cs="Arial"/>
          <w:sz w:val="20"/>
          <w:szCs w:val="20"/>
          <w:lang w:val="en-US"/>
        </w:rPr>
        <w:t xml:space="preserve">he public authorities shall guarantee the observance of basic rights and liberties and human rights. When a public task </w:t>
      </w:r>
      <w:proofErr w:type="gramStart"/>
      <w:r w:rsidRPr="004222BB">
        <w:rPr>
          <w:rFonts w:cs="Arial"/>
          <w:sz w:val="20"/>
          <w:szCs w:val="20"/>
          <w:lang w:val="en-US"/>
        </w:rPr>
        <w:t xml:space="preserve">is </w:t>
      </w:r>
      <w:r w:rsidR="00330AE4" w:rsidRPr="004222BB">
        <w:rPr>
          <w:rFonts w:cs="Arial"/>
          <w:sz w:val="20"/>
          <w:szCs w:val="20"/>
          <w:lang w:val="en-US"/>
        </w:rPr>
        <w:t>delegated</w:t>
      </w:r>
      <w:proofErr w:type="gramEnd"/>
      <w:r w:rsidR="00330AE4" w:rsidRPr="004222BB">
        <w:rPr>
          <w:rFonts w:cs="Arial"/>
          <w:sz w:val="20"/>
          <w:szCs w:val="20"/>
          <w:lang w:val="en-US"/>
        </w:rPr>
        <w:t xml:space="preserve"> to </w:t>
      </w:r>
      <w:r w:rsidRPr="004222BB">
        <w:rPr>
          <w:rFonts w:cs="Arial"/>
          <w:sz w:val="20"/>
          <w:szCs w:val="20"/>
          <w:lang w:val="en-US"/>
        </w:rPr>
        <w:t xml:space="preserve">non-public </w:t>
      </w:r>
      <w:r w:rsidR="008926F3" w:rsidRPr="004222BB">
        <w:rPr>
          <w:rFonts w:cs="Arial"/>
          <w:sz w:val="20"/>
          <w:szCs w:val="20"/>
          <w:lang w:val="en-US"/>
        </w:rPr>
        <w:t>actors,</w:t>
      </w:r>
      <w:r w:rsidR="00330AE4" w:rsidRPr="004222BB">
        <w:rPr>
          <w:rFonts w:cs="Arial"/>
          <w:sz w:val="20"/>
          <w:szCs w:val="20"/>
          <w:lang w:val="en-US"/>
        </w:rPr>
        <w:t xml:space="preserve"> they are in the same way responsible for observing basic rights and liberties and human rights.</w:t>
      </w:r>
      <w:r w:rsidR="00CD1832" w:rsidRPr="004222BB">
        <w:rPr>
          <w:rFonts w:cs="Arial"/>
          <w:sz w:val="20"/>
          <w:szCs w:val="20"/>
          <w:lang w:val="en-US"/>
        </w:rPr>
        <w:t> </w:t>
      </w:r>
    </w:p>
    <w:p w:rsidR="00374E33" w:rsidRPr="004222BB" w:rsidRDefault="00374E33" w:rsidP="0059457F">
      <w:pPr>
        <w:rPr>
          <w:rFonts w:cs="Arial"/>
          <w:sz w:val="20"/>
          <w:szCs w:val="20"/>
          <w:lang w:val="en-US"/>
        </w:rPr>
      </w:pPr>
    </w:p>
    <w:p w:rsidR="00374E33" w:rsidRPr="004222BB" w:rsidRDefault="00374E33" w:rsidP="0059457F">
      <w:pPr>
        <w:pStyle w:val="Otsikko3"/>
        <w:rPr>
          <w:rFonts w:cs="Arial"/>
          <w:sz w:val="20"/>
          <w:szCs w:val="20"/>
          <w:lang w:val="en-US"/>
        </w:rPr>
      </w:pPr>
      <w:r w:rsidRPr="004222BB">
        <w:rPr>
          <w:rFonts w:cs="Arial"/>
          <w:sz w:val="20"/>
          <w:szCs w:val="20"/>
          <w:lang w:val="en-US"/>
        </w:rPr>
        <w:t>Guiding Questions for Focus Area: Right to Work and Access to the Labor Market</w:t>
      </w:r>
    </w:p>
    <w:p w:rsidR="00374E33" w:rsidRPr="004222BB" w:rsidRDefault="00374E33" w:rsidP="0059457F">
      <w:pPr>
        <w:rPr>
          <w:rFonts w:cs="Arial"/>
          <w:sz w:val="20"/>
          <w:szCs w:val="20"/>
          <w:lang w:val="en-US"/>
        </w:rPr>
      </w:pPr>
    </w:p>
    <w:p w:rsidR="00374E33" w:rsidRPr="004222BB" w:rsidRDefault="00374E33" w:rsidP="0059457F">
      <w:pPr>
        <w:rPr>
          <w:rFonts w:cs="Arial"/>
          <w:b/>
          <w:sz w:val="20"/>
          <w:szCs w:val="20"/>
          <w:lang w:val="en-US"/>
        </w:rPr>
      </w:pPr>
      <w:r w:rsidRPr="004222BB">
        <w:rPr>
          <w:rFonts w:cs="Arial"/>
          <w:b/>
          <w:sz w:val="20"/>
          <w:szCs w:val="20"/>
          <w:lang w:val="en-US"/>
        </w:rPr>
        <w:t>National legal and policy framework</w:t>
      </w:r>
    </w:p>
    <w:p w:rsidR="0081631B" w:rsidRDefault="0081631B" w:rsidP="0081631B">
      <w:pPr>
        <w:rPr>
          <w:rFonts w:cs="Arial"/>
          <w:sz w:val="20"/>
          <w:szCs w:val="20"/>
          <w:lang w:val="en-US"/>
        </w:rPr>
      </w:pPr>
    </w:p>
    <w:p w:rsidR="00374E33" w:rsidRDefault="00D60B16" w:rsidP="0081631B">
      <w:pPr>
        <w:ind w:left="720"/>
        <w:rPr>
          <w:rFonts w:cs="Arial"/>
          <w:sz w:val="20"/>
          <w:szCs w:val="20"/>
          <w:lang w:val="en-US"/>
        </w:rPr>
      </w:pPr>
      <w:r w:rsidRPr="004222BB">
        <w:rPr>
          <w:rFonts w:cs="Arial"/>
          <w:sz w:val="20"/>
          <w:szCs w:val="20"/>
          <w:lang w:val="en-US"/>
        </w:rPr>
        <w:t xml:space="preserve">The </w:t>
      </w:r>
      <w:proofErr w:type="spellStart"/>
      <w:r w:rsidRPr="004222BB">
        <w:rPr>
          <w:rFonts w:cs="Arial"/>
          <w:sz w:val="20"/>
          <w:szCs w:val="20"/>
          <w:lang w:val="en-US"/>
        </w:rPr>
        <w:t>Programme</w:t>
      </w:r>
      <w:proofErr w:type="spellEnd"/>
      <w:r w:rsidR="00374E33" w:rsidRPr="004222BB">
        <w:rPr>
          <w:rFonts w:cs="Arial"/>
          <w:sz w:val="20"/>
          <w:szCs w:val="20"/>
          <w:lang w:val="en-US"/>
        </w:rPr>
        <w:t xml:space="preserve"> of Prime Minister Antti </w:t>
      </w:r>
      <w:proofErr w:type="spellStart"/>
      <w:r w:rsidR="00374E33" w:rsidRPr="004222BB">
        <w:rPr>
          <w:rFonts w:cs="Arial"/>
          <w:sz w:val="20"/>
          <w:szCs w:val="20"/>
          <w:lang w:val="en-US"/>
        </w:rPr>
        <w:t>Rinne’s</w:t>
      </w:r>
      <w:proofErr w:type="spellEnd"/>
      <w:r w:rsidR="00374E33" w:rsidRPr="004222BB">
        <w:rPr>
          <w:rFonts w:cs="Arial"/>
          <w:sz w:val="20"/>
          <w:szCs w:val="20"/>
          <w:lang w:val="en-US"/>
        </w:rPr>
        <w:t xml:space="preserve"> Government 2019 states the following:</w:t>
      </w:r>
    </w:p>
    <w:p w:rsidR="0081631B" w:rsidRPr="004222BB" w:rsidRDefault="0081631B" w:rsidP="0059457F">
      <w:pPr>
        <w:ind w:left="720"/>
        <w:rPr>
          <w:rFonts w:cs="Arial"/>
          <w:sz w:val="20"/>
          <w:szCs w:val="20"/>
          <w:lang w:val="en-US"/>
        </w:rPr>
      </w:pPr>
    </w:p>
    <w:p w:rsidR="00374E33" w:rsidRPr="004222BB" w:rsidRDefault="00374E33" w:rsidP="0059457F">
      <w:pPr>
        <w:ind w:left="720"/>
        <w:rPr>
          <w:rFonts w:cs="Arial"/>
          <w:sz w:val="20"/>
          <w:szCs w:val="20"/>
          <w:lang w:val="en-US"/>
        </w:rPr>
      </w:pPr>
      <w:r w:rsidRPr="004222BB">
        <w:rPr>
          <w:rFonts w:cs="Arial"/>
          <w:sz w:val="20"/>
          <w:szCs w:val="20"/>
          <w:lang w:val="en-US"/>
        </w:rPr>
        <w:t xml:space="preserve">A working capacity </w:t>
      </w:r>
      <w:proofErr w:type="spellStart"/>
      <w:r w:rsidRPr="004222BB">
        <w:rPr>
          <w:rFonts w:cs="Arial"/>
          <w:sz w:val="20"/>
          <w:szCs w:val="20"/>
          <w:lang w:val="en-US"/>
        </w:rPr>
        <w:t>programme</w:t>
      </w:r>
      <w:proofErr w:type="spellEnd"/>
      <w:r w:rsidRPr="004222BB">
        <w:rPr>
          <w:rFonts w:cs="Arial"/>
          <w:sz w:val="20"/>
          <w:szCs w:val="20"/>
          <w:lang w:val="en-US"/>
        </w:rPr>
        <w:t xml:space="preserve"> for people with partial work capacity </w:t>
      </w:r>
      <w:proofErr w:type="gramStart"/>
      <w:r w:rsidRPr="004222BB">
        <w:rPr>
          <w:rFonts w:cs="Arial"/>
          <w:sz w:val="20"/>
          <w:szCs w:val="20"/>
          <w:lang w:val="en-US"/>
        </w:rPr>
        <w:t>will be implemented</w:t>
      </w:r>
      <w:proofErr w:type="gramEnd"/>
      <w:r w:rsidRPr="004222BB">
        <w:rPr>
          <w:rFonts w:cs="Arial"/>
          <w:sz w:val="20"/>
          <w:szCs w:val="20"/>
          <w:lang w:val="en-US"/>
        </w:rPr>
        <w:t xml:space="preserve"> to ease access to employment. Pilot projects for the deployment of effective services and schemes </w:t>
      </w:r>
      <w:proofErr w:type="gramStart"/>
      <w:r w:rsidRPr="004222BB">
        <w:rPr>
          <w:rFonts w:cs="Arial"/>
          <w:sz w:val="20"/>
          <w:szCs w:val="20"/>
          <w:lang w:val="en-US"/>
        </w:rPr>
        <w:t>will be launched</w:t>
      </w:r>
      <w:proofErr w:type="gramEnd"/>
      <w:r w:rsidRPr="004222BB">
        <w:rPr>
          <w:rFonts w:cs="Arial"/>
          <w:sz w:val="20"/>
          <w:szCs w:val="20"/>
          <w:lang w:val="en-US"/>
        </w:rPr>
        <w:t xml:space="preserve"> as part of this </w:t>
      </w:r>
      <w:proofErr w:type="spellStart"/>
      <w:r w:rsidRPr="004222BB">
        <w:rPr>
          <w:rFonts w:cs="Arial"/>
          <w:sz w:val="20"/>
          <w:szCs w:val="20"/>
          <w:lang w:val="en-US"/>
        </w:rPr>
        <w:t>programme</w:t>
      </w:r>
      <w:proofErr w:type="spellEnd"/>
      <w:r w:rsidRPr="004222BB">
        <w:rPr>
          <w:rFonts w:cs="Arial"/>
          <w:sz w:val="20"/>
          <w:szCs w:val="20"/>
          <w:lang w:val="en-US"/>
        </w:rPr>
        <w:t xml:space="preserve">. The rehabilitation system </w:t>
      </w:r>
      <w:proofErr w:type="gramStart"/>
      <w:r w:rsidRPr="004222BB">
        <w:rPr>
          <w:rFonts w:cs="Arial"/>
          <w:sz w:val="20"/>
          <w:szCs w:val="20"/>
          <w:lang w:val="en-US"/>
        </w:rPr>
        <w:t>will be redesigned</w:t>
      </w:r>
      <w:proofErr w:type="gramEnd"/>
      <w:r w:rsidRPr="004222BB">
        <w:rPr>
          <w:rFonts w:cs="Arial"/>
          <w:sz w:val="20"/>
          <w:szCs w:val="20"/>
          <w:lang w:val="en-US"/>
        </w:rPr>
        <w:t xml:space="preserve"> based on the proposals of the rehabilitation committee. </w:t>
      </w:r>
    </w:p>
    <w:p w:rsidR="00374E33" w:rsidRPr="004222BB" w:rsidRDefault="00374E33" w:rsidP="0059457F">
      <w:pPr>
        <w:rPr>
          <w:rFonts w:cs="Arial"/>
          <w:sz w:val="20"/>
          <w:szCs w:val="20"/>
          <w:lang w:val="en-US"/>
        </w:rPr>
      </w:pPr>
    </w:p>
    <w:p w:rsidR="00374E33" w:rsidRPr="004222BB" w:rsidRDefault="00374E33" w:rsidP="0059457F">
      <w:pPr>
        <w:ind w:left="720"/>
        <w:rPr>
          <w:rFonts w:cs="Arial"/>
          <w:sz w:val="20"/>
          <w:szCs w:val="20"/>
          <w:lang w:val="en-US"/>
        </w:rPr>
      </w:pPr>
      <w:r w:rsidRPr="004222BB">
        <w:rPr>
          <w:rFonts w:cs="Arial"/>
          <w:sz w:val="20"/>
          <w:szCs w:val="20"/>
          <w:lang w:val="en-US"/>
        </w:rPr>
        <w:t xml:space="preserve">Career and guidance services will be improved not only for unemployed persons, but also particularly for those returning from extended family leave and for older employees. Working career guidance </w:t>
      </w:r>
      <w:proofErr w:type="gramStart"/>
      <w:r w:rsidRPr="004222BB">
        <w:rPr>
          <w:rFonts w:cs="Arial"/>
          <w:sz w:val="20"/>
          <w:szCs w:val="20"/>
          <w:lang w:val="en-US"/>
        </w:rPr>
        <w:t>will also be increased</w:t>
      </w:r>
      <w:proofErr w:type="gramEnd"/>
      <w:r w:rsidRPr="004222BB">
        <w:rPr>
          <w:rFonts w:cs="Arial"/>
          <w:sz w:val="20"/>
          <w:szCs w:val="20"/>
          <w:lang w:val="en-US"/>
        </w:rPr>
        <w:t xml:space="preserve"> for employees, entrepreneurs and the self-employed.</w:t>
      </w:r>
    </w:p>
    <w:p w:rsidR="000B22ED" w:rsidRPr="004222BB" w:rsidRDefault="000B22ED" w:rsidP="0059457F">
      <w:pPr>
        <w:ind w:left="720"/>
        <w:rPr>
          <w:rFonts w:cs="Arial"/>
          <w:sz w:val="20"/>
          <w:szCs w:val="20"/>
          <w:lang w:val="en-US"/>
        </w:rPr>
      </w:pPr>
    </w:p>
    <w:p w:rsidR="000B22ED" w:rsidRPr="004222BB" w:rsidRDefault="000B22ED" w:rsidP="0059457F">
      <w:pPr>
        <w:ind w:left="720"/>
        <w:rPr>
          <w:rFonts w:cs="Arial"/>
          <w:sz w:val="20"/>
          <w:szCs w:val="20"/>
          <w:lang w:val="en-US"/>
        </w:rPr>
      </w:pPr>
    </w:p>
    <w:p w:rsidR="000B22ED" w:rsidRPr="004222BB" w:rsidRDefault="000B22ED" w:rsidP="0059457F">
      <w:pPr>
        <w:ind w:left="720"/>
        <w:rPr>
          <w:rFonts w:cs="Arial"/>
          <w:sz w:val="20"/>
          <w:szCs w:val="20"/>
          <w:lang w:val="en-US"/>
        </w:rPr>
      </w:pPr>
    </w:p>
    <w:p w:rsidR="000B22ED" w:rsidRPr="004222BB" w:rsidRDefault="000B22ED" w:rsidP="0059457F">
      <w:pPr>
        <w:ind w:left="720"/>
        <w:rPr>
          <w:rFonts w:cs="Arial"/>
          <w:sz w:val="20"/>
          <w:szCs w:val="20"/>
          <w:lang w:val="en-US"/>
        </w:rPr>
      </w:pPr>
    </w:p>
    <w:p w:rsidR="000B22ED" w:rsidRPr="004222BB" w:rsidRDefault="000B22ED" w:rsidP="0059457F">
      <w:pPr>
        <w:ind w:left="720"/>
        <w:rPr>
          <w:rFonts w:cs="Arial"/>
          <w:sz w:val="20"/>
          <w:szCs w:val="20"/>
          <w:lang w:val="en-US"/>
        </w:rPr>
      </w:pPr>
    </w:p>
    <w:p w:rsidR="000B22ED" w:rsidRPr="004222BB" w:rsidRDefault="000B22ED" w:rsidP="0059457F">
      <w:pPr>
        <w:ind w:left="720"/>
        <w:rPr>
          <w:rFonts w:cs="Arial"/>
          <w:sz w:val="20"/>
          <w:szCs w:val="20"/>
          <w:lang w:val="en-US"/>
        </w:rPr>
      </w:pPr>
    </w:p>
    <w:p w:rsidR="000B22ED" w:rsidRPr="004222BB" w:rsidRDefault="000B22ED" w:rsidP="0059457F">
      <w:pPr>
        <w:ind w:left="720"/>
        <w:rPr>
          <w:rFonts w:cs="Arial"/>
          <w:sz w:val="20"/>
          <w:szCs w:val="20"/>
          <w:lang w:val="en-US"/>
        </w:rPr>
      </w:pPr>
    </w:p>
    <w:p w:rsidR="000B22ED" w:rsidRPr="004222BB" w:rsidRDefault="000B22ED" w:rsidP="0059457F">
      <w:pPr>
        <w:ind w:left="720"/>
        <w:rPr>
          <w:rFonts w:cs="Arial"/>
          <w:sz w:val="20"/>
          <w:szCs w:val="20"/>
          <w:lang w:val="en-US"/>
        </w:rPr>
      </w:pPr>
    </w:p>
    <w:p w:rsidR="000B22ED" w:rsidRPr="004222BB" w:rsidRDefault="000B22ED" w:rsidP="0059457F">
      <w:pPr>
        <w:ind w:left="720"/>
        <w:rPr>
          <w:rFonts w:cs="Arial"/>
          <w:sz w:val="20"/>
          <w:szCs w:val="20"/>
          <w:lang w:val="en-US"/>
        </w:rPr>
      </w:pPr>
    </w:p>
    <w:p w:rsidR="000B22ED" w:rsidRPr="004222BB" w:rsidRDefault="000B22ED" w:rsidP="0059457F">
      <w:pPr>
        <w:ind w:left="720"/>
        <w:rPr>
          <w:rFonts w:cs="Arial"/>
          <w:sz w:val="20"/>
          <w:szCs w:val="20"/>
          <w:lang w:val="en-US"/>
        </w:rPr>
      </w:pPr>
    </w:p>
    <w:p w:rsidR="000B22ED" w:rsidRPr="004222BB" w:rsidRDefault="000B22ED" w:rsidP="0059457F">
      <w:pPr>
        <w:ind w:left="720"/>
        <w:rPr>
          <w:rFonts w:cs="Arial"/>
          <w:sz w:val="20"/>
          <w:szCs w:val="20"/>
          <w:lang w:val="en-US"/>
        </w:rPr>
      </w:pPr>
    </w:p>
    <w:p w:rsidR="00374E33" w:rsidRPr="004222BB" w:rsidRDefault="00374E33" w:rsidP="0059457F">
      <w:pPr>
        <w:rPr>
          <w:rFonts w:cs="Arial"/>
          <w:sz w:val="20"/>
          <w:szCs w:val="20"/>
          <w:lang w:val="en-US"/>
        </w:rPr>
      </w:pPr>
    </w:p>
    <w:p w:rsidR="00374E33" w:rsidRPr="004222BB" w:rsidRDefault="00374E33" w:rsidP="0059457F">
      <w:pPr>
        <w:pStyle w:val="Luettelokappale"/>
        <w:ind w:left="360"/>
        <w:rPr>
          <w:rFonts w:ascii="Arial" w:hAnsi="Arial" w:cs="Arial"/>
          <w:sz w:val="20"/>
          <w:szCs w:val="20"/>
          <w:lang w:val="en-US"/>
        </w:rPr>
      </w:pPr>
    </w:p>
    <w:p w:rsidR="00421618" w:rsidRPr="004222BB" w:rsidRDefault="00421618" w:rsidP="0059457F">
      <w:pPr>
        <w:rPr>
          <w:rFonts w:cs="Arial"/>
          <w:sz w:val="20"/>
          <w:szCs w:val="20"/>
          <w:lang w:val="en-US"/>
        </w:rPr>
      </w:pPr>
    </w:p>
    <w:p w:rsidR="00871FC5" w:rsidRPr="004222BB" w:rsidRDefault="00871FC5" w:rsidP="0059457F">
      <w:pPr>
        <w:rPr>
          <w:rFonts w:cs="Arial"/>
          <w:sz w:val="20"/>
          <w:szCs w:val="20"/>
          <w:lang w:val="en-US"/>
        </w:rPr>
      </w:pPr>
    </w:p>
    <w:p w:rsidR="00871FC5" w:rsidRPr="004222BB" w:rsidRDefault="00871FC5" w:rsidP="0059457F">
      <w:pPr>
        <w:rPr>
          <w:rFonts w:cs="Arial"/>
          <w:sz w:val="20"/>
          <w:szCs w:val="20"/>
          <w:lang w:val="en-US"/>
        </w:rPr>
      </w:pPr>
    </w:p>
    <w:p w:rsidR="00775DA3" w:rsidRPr="004222BB" w:rsidRDefault="00775DA3" w:rsidP="0059457F">
      <w:pPr>
        <w:pStyle w:val="Luettelokappale"/>
        <w:ind w:left="785"/>
        <w:rPr>
          <w:rFonts w:ascii="Arial" w:hAnsi="Arial" w:cs="Arial"/>
          <w:b/>
          <w:sz w:val="20"/>
          <w:szCs w:val="20"/>
          <w:lang w:val="en-US"/>
        </w:rPr>
      </w:pPr>
    </w:p>
    <w:p w:rsidR="001E7551" w:rsidRPr="004222BB" w:rsidRDefault="001E7551" w:rsidP="0059457F">
      <w:pPr>
        <w:rPr>
          <w:rFonts w:cs="Arial"/>
          <w:b/>
          <w:sz w:val="20"/>
          <w:szCs w:val="20"/>
          <w:lang w:val="en-US"/>
        </w:rPr>
      </w:pPr>
    </w:p>
    <w:p w:rsidR="001E7551" w:rsidRPr="004222BB" w:rsidRDefault="001E7551" w:rsidP="0059457F">
      <w:pPr>
        <w:rPr>
          <w:rFonts w:cs="Arial"/>
          <w:b/>
          <w:sz w:val="20"/>
          <w:szCs w:val="20"/>
          <w:lang w:val="en-US"/>
        </w:rPr>
      </w:pPr>
    </w:p>
    <w:p w:rsidR="00236324" w:rsidRPr="004222BB" w:rsidRDefault="00236324" w:rsidP="0059457F">
      <w:pPr>
        <w:rPr>
          <w:rFonts w:cs="Arial"/>
          <w:b/>
          <w:sz w:val="20"/>
          <w:szCs w:val="20"/>
          <w:lang w:val="en-US"/>
        </w:rPr>
      </w:pPr>
    </w:p>
    <w:p w:rsidR="00236324" w:rsidRPr="004222BB" w:rsidRDefault="00236324" w:rsidP="0059457F">
      <w:pPr>
        <w:rPr>
          <w:rFonts w:cs="Arial"/>
          <w:sz w:val="20"/>
          <w:szCs w:val="20"/>
          <w:lang w:val="en-US"/>
        </w:rPr>
      </w:pPr>
    </w:p>
    <w:sectPr w:rsidR="00236324" w:rsidRPr="004222BB" w:rsidSect="00F2636A">
      <w:headerReference w:type="even" r:id="rId12"/>
      <w:headerReference w:type="default" r:id="rId13"/>
      <w:footerReference w:type="even" r:id="rId14"/>
      <w:footerReference w:type="default" r:id="rId15"/>
      <w:headerReference w:type="first" r:id="rId16"/>
      <w:footerReference w:type="first" r:id="rId17"/>
      <w:type w:val="continuous"/>
      <w:pgSz w:w="11906" w:h="16840"/>
      <w:pgMar w:top="1701" w:right="1134" w:bottom="1701" w:left="27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57D" w:rsidRDefault="0006757D" w:rsidP="0063085E">
      <w:pPr>
        <w:spacing w:line="240" w:lineRule="auto"/>
      </w:pPr>
      <w:r>
        <w:separator/>
      </w:r>
    </w:p>
  </w:endnote>
  <w:endnote w:type="continuationSeparator" w:id="0">
    <w:p w:rsidR="0006757D" w:rsidRDefault="0006757D"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96A" w:rsidRDefault="0025096A" w:rsidP="0025096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25096A" w:rsidRDefault="0025096A" w:rsidP="0063085E">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848957"/>
      <w:docPartObj>
        <w:docPartGallery w:val="Page Numbers (Bottom of Page)"/>
        <w:docPartUnique/>
      </w:docPartObj>
    </w:sdtPr>
    <w:sdtEndPr/>
    <w:sdtContent>
      <w:p w:rsidR="006F3863" w:rsidRDefault="006F3863">
        <w:pPr>
          <w:pStyle w:val="Alatunniste"/>
          <w:jc w:val="right"/>
        </w:pPr>
        <w:r>
          <w:fldChar w:fldCharType="begin"/>
        </w:r>
        <w:r>
          <w:instrText>PAGE   \* MERGEFORMAT</w:instrText>
        </w:r>
        <w:r>
          <w:fldChar w:fldCharType="separate"/>
        </w:r>
        <w:r w:rsidR="001803CC">
          <w:rPr>
            <w:noProof/>
          </w:rPr>
          <w:t>2</w:t>
        </w:r>
        <w:r>
          <w:fldChar w:fldCharType="end"/>
        </w:r>
      </w:p>
    </w:sdtContent>
  </w:sdt>
  <w:p w:rsidR="0025096A" w:rsidRDefault="0025096A" w:rsidP="00910316">
    <w:pPr>
      <w:pStyle w:val="Alatunnist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9D" w:rsidRDefault="007449F9" w:rsidP="007449F9">
    <w:pPr>
      <w:pStyle w:val="Alatunniste"/>
      <w:tabs>
        <w:tab w:val="clear" w:pos="4320"/>
        <w:tab w:val="clear" w:pos="8640"/>
        <w:tab w:val="left" w:pos="2343"/>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40" w:rsidRDefault="00EE2440">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33" w:rsidRPr="0063085E" w:rsidRDefault="00545B33" w:rsidP="0063085E">
    <w:pPr>
      <w:pStyle w:val="Alatunniste"/>
      <w:framePr w:w="329" w:wrap="around" w:vAnchor="text" w:hAnchor="page" w:x="11193" w:y="365"/>
      <w:jc w:val="right"/>
      <w:rPr>
        <w:rStyle w:val="Sivunumero"/>
        <w:rFonts w:cs="Arial"/>
        <w:sz w:val="16"/>
        <w:szCs w:val="16"/>
      </w:rPr>
    </w:pPr>
    <w:r w:rsidRPr="0063085E">
      <w:rPr>
        <w:rStyle w:val="Sivunumero"/>
        <w:rFonts w:cs="Arial"/>
        <w:sz w:val="16"/>
        <w:szCs w:val="16"/>
      </w:rPr>
      <w:fldChar w:fldCharType="begin"/>
    </w:r>
    <w:r w:rsidRPr="0063085E">
      <w:rPr>
        <w:rStyle w:val="Sivunumero"/>
        <w:rFonts w:cs="Arial"/>
        <w:sz w:val="16"/>
        <w:szCs w:val="16"/>
      </w:rPr>
      <w:instrText xml:space="preserve">PAGE  </w:instrText>
    </w:r>
    <w:r w:rsidRPr="0063085E">
      <w:rPr>
        <w:rStyle w:val="Sivunumero"/>
        <w:rFonts w:cs="Arial"/>
        <w:sz w:val="16"/>
        <w:szCs w:val="16"/>
      </w:rPr>
      <w:fldChar w:fldCharType="separate"/>
    </w:r>
    <w:r w:rsidR="003D099E">
      <w:rPr>
        <w:rStyle w:val="Sivunumero"/>
        <w:rFonts w:cs="Arial"/>
        <w:noProof/>
        <w:sz w:val="16"/>
        <w:szCs w:val="16"/>
      </w:rPr>
      <w:t>6</w:t>
    </w:r>
    <w:r w:rsidRPr="0063085E">
      <w:rPr>
        <w:rStyle w:val="Sivunumero"/>
        <w:rFonts w:cs="Arial"/>
        <w:sz w:val="16"/>
        <w:szCs w:val="16"/>
      </w:rPr>
      <w:fldChar w:fldCharType="end"/>
    </w:r>
  </w:p>
  <w:p w:rsidR="00545B33" w:rsidRDefault="00545B33" w:rsidP="00910316">
    <w:pPr>
      <w:pStyle w:val="Alatunnist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40" w:rsidRDefault="00EE244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57D" w:rsidRDefault="0006757D" w:rsidP="0063085E">
      <w:pPr>
        <w:spacing w:line="240" w:lineRule="auto"/>
      </w:pPr>
      <w:r>
        <w:separator/>
      </w:r>
    </w:p>
  </w:footnote>
  <w:footnote w:type="continuationSeparator" w:id="0">
    <w:p w:rsidR="0006757D" w:rsidRDefault="0006757D" w:rsidP="006308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9D" w:rsidRDefault="00E3289C">
    <w:pPr>
      <w:pStyle w:val="Yltunniste"/>
    </w:pPr>
    <w:r>
      <w:rPr>
        <w:noProof/>
        <w:lang w:eastAsia="fi-FI"/>
      </w:rPr>
      <w:drawing>
        <wp:anchor distT="0" distB="0" distL="114300" distR="114300" simplePos="0" relativeHeight="251658240" behindDoc="1" locked="0" layoutInCell="1" allowOverlap="1" wp14:anchorId="001ADC68" wp14:editId="21862706">
          <wp:simplePos x="0" y="0"/>
          <wp:positionH relativeFrom="column">
            <wp:posOffset>-1733266</wp:posOffset>
          </wp:positionH>
          <wp:positionV relativeFrom="paragraph">
            <wp:posOffset>-436728</wp:posOffset>
          </wp:positionV>
          <wp:extent cx="7559675" cy="849630"/>
          <wp:effectExtent l="0" t="0" r="0" b="762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40" w:rsidRDefault="00EE244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33" w:rsidRDefault="00545B33">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40" w:rsidRDefault="00EE244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46D50"/>
    <w:multiLevelType w:val="hybridMultilevel"/>
    <w:tmpl w:val="C0761C9C"/>
    <w:lvl w:ilvl="0" w:tplc="029EA022">
      <w:start w:val="1"/>
      <w:numFmt w:val="decimal"/>
      <w:lvlText w:val="%1."/>
      <w:lvlJc w:val="left"/>
      <w:pPr>
        <w:ind w:left="785"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0DA5E17"/>
    <w:multiLevelType w:val="hybridMultilevel"/>
    <w:tmpl w:val="E75409A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88845F6"/>
    <w:multiLevelType w:val="hybridMultilevel"/>
    <w:tmpl w:val="A8B252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C59428F"/>
    <w:multiLevelType w:val="hybridMultilevel"/>
    <w:tmpl w:val="4886B5F4"/>
    <w:lvl w:ilvl="0" w:tplc="06D8D758">
      <w:start w:val="1"/>
      <w:numFmt w:val="decimal"/>
      <w:lvlText w:val="%1."/>
      <w:lvlJc w:val="left"/>
      <w:pPr>
        <w:ind w:left="643"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F867C8D"/>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5D"/>
    <w:rsid w:val="00027BDA"/>
    <w:rsid w:val="000357B1"/>
    <w:rsid w:val="000358C2"/>
    <w:rsid w:val="000414E0"/>
    <w:rsid w:val="00055C8C"/>
    <w:rsid w:val="0006757D"/>
    <w:rsid w:val="00076B3F"/>
    <w:rsid w:val="000918BA"/>
    <w:rsid w:val="000B22ED"/>
    <w:rsid w:val="000C2F5C"/>
    <w:rsid w:val="000C329D"/>
    <w:rsid w:val="000C3AE5"/>
    <w:rsid w:val="000C491C"/>
    <w:rsid w:val="00101CED"/>
    <w:rsid w:val="00111720"/>
    <w:rsid w:val="00116F9C"/>
    <w:rsid w:val="0012620A"/>
    <w:rsid w:val="00133D14"/>
    <w:rsid w:val="00143025"/>
    <w:rsid w:val="001616DC"/>
    <w:rsid w:val="00161D6B"/>
    <w:rsid w:val="0016294F"/>
    <w:rsid w:val="001803CC"/>
    <w:rsid w:val="001A062A"/>
    <w:rsid w:val="001C58F5"/>
    <w:rsid w:val="001D765C"/>
    <w:rsid w:val="001E00F7"/>
    <w:rsid w:val="001E7551"/>
    <w:rsid w:val="00236324"/>
    <w:rsid w:val="002479E3"/>
    <w:rsid w:val="0025096A"/>
    <w:rsid w:val="002533C8"/>
    <w:rsid w:val="0026162D"/>
    <w:rsid w:val="00271721"/>
    <w:rsid w:val="00284B4F"/>
    <w:rsid w:val="002B0354"/>
    <w:rsid w:val="002C543B"/>
    <w:rsid w:val="002C5E26"/>
    <w:rsid w:val="002F158C"/>
    <w:rsid w:val="003225C3"/>
    <w:rsid w:val="00330AE4"/>
    <w:rsid w:val="00364B13"/>
    <w:rsid w:val="00374E33"/>
    <w:rsid w:val="003B4325"/>
    <w:rsid w:val="003C6B98"/>
    <w:rsid w:val="003D099E"/>
    <w:rsid w:val="003F7D3C"/>
    <w:rsid w:val="00413CCA"/>
    <w:rsid w:val="00421618"/>
    <w:rsid w:val="004222BB"/>
    <w:rsid w:val="0042316A"/>
    <w:rsid w:val="00431AFE"/>
    <w:rsid w:val="0044514A"/>
    <w:rsid w:val="0045439D"/>
    <w:rsid w:val="00457749"/>
    <w:rsid w:val="004B225D"/>
    <w:rsid w:val="004F47D0"/>
    <w:rsid w:val="00511BD4"/>
    <w:rsid w:val="0053089E"/>
    <w:rsid w:val="005419D0"/>
    <w:rsid w:val="0054423B"/>
    <w:rsid w:val="00545B33"/>
    <w:rsid w:val="00561763"/>
    <w:rsid w:val="00590CE2"/>
    <w:rsid w:val="0059457F"/>
    <w:rsid w:val="005B737C"/>
    <w:rsid w:val="005D2596"/>
    <w:rsid w:val="005D67CB"/>
    <w:rsid w:val="006017D6"/>
    <w:rsid w:val="00620E1F"/>
    <w:rsid w:val="0062639C"/>
    <w:rsid w:val="0063085E"/>
    <w:rsid w:val="00647FB9"/>
    <w:rsid w:val="00657415"/>
    <w:rsid w:val="006611DB"/>
    <w:rsid w:val="006746DF"/>
    <w:rsid w:val="006944B8"/>
    <w:rsid w:val="006D13A3"/>
    <w:rsid w:val="006E6106"/>
    <w:rsid w:val="006F3863"/>
    <w:rsid w:val="006F541A"/>
    <w:rsid w:val="006F667C"/>
    <w:rsid w:val="007425BA"/>
    <w:rsid w:val="007449F9"/>
    <w:rsid w:val="00775DA3"/>
    <w:rsid w:val="00786DA6"/>
    <w:rsid w:val="007C3428"/>
    <w:rsid w:val="007C391E"/>
    <w:rsid w:val="00802426"/>
    <w:rsid w:val="0081631B"/>
    <w:rsid w:val="008171A4"/>
    <w:rsid w:val="00835CBF"/>
    <w:rsid w:val="00842CCF"/>
    <w:rsid w:val="00871FC5"/>
    <w:rsid w:val="0089204C"/>
    <w:rsid w:val="008926F3"/>
    <w:rsid w:val="00892796"/>
    <w:rsid w:val="008A7724"/>
    <w:rsid w:val="008B0B24"/>
    <w:rsid w:val="008B5B7F"/>
    <w:rsid w:val="00910316"/>
    <w:rsid w:val="009104A7"/>
    <w:rsid w:val="009242A3"/>
    <w:rsid w:val="0098173F"/>
    <w:rsid w:val="009A0275"/>
    <w:rsid w:val="00A124A9"/>
    <w:rsid w:val="00A20382"/>
    <w:rsid w:val="00A22934"/>
    <w:rsid w:val="00A24839"/>
    <w:rsid w:val="00A2656C"/>
    <w:rsid w:val="00A3639E"/>
    <w:rsid w:val="00A6179A"/>
    <w:rsid w:val="00A878A9"/>
    <w:rsid w:val="00B012C4"/>
    <w:rsid w:val="00B33D6A"/>
    <w:rsid w:val="00B44FAB"/>
    <w:rsid w:val="00B451A0"/>
    <w:rsid w:val="00B47120"/>
    <w:rsid w:val="00B539AE"/>
    <w:rsid w:val="00B53F6E"/>
    <w:rsid w:val="00B67466"/>
    <w:rsid w:val="00C00D1C"/>
    <w:rsid w:val="00C049D4"/>
    <w:rsid w:val="00C3746C"/>
    <w:rsid w:val="00C42CAC"/>
    <w:rsid w:val="00C53BA5"/>
    <w:rsid w:val="00C64CE6"/>
    <w:rsid w:val="00C65342"/>
    <w:rsid w:val="00CA75EE"/>
    <w:rsid w:val="00CC27BE"/>
    <w:rsid w:val="00CD1832"/>
    <w:rsid w:val="00D10BF4"/>
    <w:rsid w:val="00D16CBC"/>
    <w:rsid w:val="00D2249C"/>
    <w:rsid w:val="00D23430"/>
    <w:rsid w:val="00D41ADD"/>
    <w:rsid w:val="00D60B16"/>
    <w:rsid w:val="00D914F7"/>
    <w:rsid w:val="00DA2095"/>
    <w:rsid w:val="00DD3107"/>
    <w:rsid w:val="00DE401F"/>
    <w:rsid w:val="00DE46B1"/>
    <w:rsid w:val="00E0044D"/>
    <w:rsid w:val="00E25895"/>
    <w:rsid w:val="00E3289C"/>
    <w:rsid w:val="00E76998"/>
    <w:rsid w:val="00E813C7"/>
    <w:rsid w:val="00EC4664"/>
    <w:rsid w:val="00ED7497"/>
    <w:rsid w:val="00EE2440"/>
    <w:rsid w:val="00F00D95"/>
    <w:rsid w:val="00F2636A"/>
    <w:rsid w:val="00F727A7"/>
    <w:rsid w:val="00F74ADA"/>
    <w:rsid w:val="00F76634"/>
    <w:rsid w:val="00F9025D"/>
    <w:rsid w:val="00FA0284"/>
    <w:rsid w:val="00FB061E"/>
    <w:rsid w:val="00FC1B36"/>
    <w:rsid w:val="00FC54BA"/>
    <w:rsid w:val="00FD7E05"/>
    <w:rsid w:val="00FF1ACA"/>
    <w:rsid w:val="00FF24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4A5A91"/>
  <w15:docId w15:val="{9FAFF772-8C04-4F2C-992F-77554CE9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rsid w:val="0025096A"/>
    <w:pPr>
      <w:widowControl w:val="0"/>
      <w:spacing w:line="240" w:lineRule="exact"/>
    </w:pPr>
    <w:rPr>
      <w:color w:val="000000"/>
      <w:sz w:val="18"/>
      <w:szCs w:val="22"/>
      <w:lang w:eastAsia="en-US"/>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eastAsia="MS PGothic"/>
      <w:b/>
      <w:bCs/>
      <w:color w:val="DC5034"/>
      <w:sz w:val="36"/>
      <w:szCs w:val="32"/>
    </w:rPr>
  </w:style>
  <w:style w:type="paragraph" w:styleId="Otsikko2">
    <w:name w:val="heading 2"/>
    <w:basedOn w:val="Otsikko1"/>
    <w:next w:val="Normaali"/>
    <w:link w:val="Otsikko2Char"/>
    <w:uiPriority w:val="9"/>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qFormat/>
    <w:rsid w:val="00620E1F"/>
    <w:pPr>
      <w:outlineLvl w:val="2"/>
    </w:pPr>
    <w:rPr>
      <w:b w:val="0"/>
      <w:bCs/>
    </w:rPr>
  </w:style>
  <w:style w:type="paragraph" w:styleId="Otsikko4">
    <w:name w:val="heading 4"/>
    <w:basedOn w:val="Normaali"/>
    <w:next w:val="Normaali"/>
    <w:link w:val="Otsikko4Char"/>
    <w:uiPriority w:val="9"/>
    <w:unhideWhenUsed/>
    <w:qFormat/>
    <w:rsid w:val="00802426"/>
    <w:pPr>
      <w:keepNext/>
      <w:keepLines/>
      <w:spacing w:before="4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next w:val="Normaali"/>
    <w:link w:val="Otsikko5Char"/>
    <w:uiPriority w:val="9"/>
    <w:unhideWhenUsed/>
    <w:qFormat/>
    <w:rsid w:val="00802426"/>
    <w:pPr>
      <w:keepNext/>
      <w:keepLines/>
      <w:spacing w:before="4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uiPriority w:val="9"/>
    <w:unhideWhenUsed/>
    <w:qFormat/>
    <w:rsid w:val="00802426"/>
    <w:pPr>
      <w:keepNext/>
      <w:keepLines/>
      <w:spacing w:before="40"/>
      <w:outlineLvl w:val="5"/>
    </w:pPr>
    <w:rPr>
      <w:rFonts w:asciiTheme="majorHAnsi" w:eastAsiaTheme="majorEastAsia" w:hAnsiTheme="majorHAnsi" w:cstheme="majorBidi"/>
      <w:color w:val="243F60" w:themeColor="accent1" w:themeShade="7F"/>
    </w:rPr>
  </w:style>
  <w:style w:type="paragraph" w:styleId="Otsikko7">
    <w:name w:val="heading 7"/>
    <w:basedOn w:val="Normaali"/>
    <w:next w:val="Normaali"/>
    <w:link w:val="Otsikko7Char"/>
    <w:uiPriority w:val="9"/>
    <w:unhideWhenUsed/>
    <w:qFormat/>
    <w:rsid w:val="00802426"/>
    <w:pPr>
      <w:keepNext/>
      <w:keepLines/>
      <w:spacing w:before="4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uiPriority w:val="9"/>
    <w:unhideWhenUsed/>
    <w:qFormat/>
    <w:rsid w:val="0080242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unhideWhenUsed/>
    <w:qFormat/>
    <w:rsid w:val="0080242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sz w:val="20"/>
      <w:szCs w:val="20"/>
    </w:rPr>
  </w:style>
  <w:style w:type="paragraph" w:customStyle="1" w:styleId="Vriksluettelo-korostus11">
    <w:name w:val="Värikäs luettelo - korostus 11"/>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link w:val="Otsikko1"/>
    <w:uiPriority w:val="9"/>
    <w:rsid w:val="00457749"/>
    <w:rPr>
      <w:rFonts w:ascii="Arial" w:eastAsia="MS PGothic" w:hAnsi="Arial" w:cs="Times New Roman"/>
      <w:b/>
      <w:bCs/>
      <w:color w:val="DC5034"/>
      <w:sz w:val="36"/>
      <w:szCs w:val="32"/>
      <w:lang w:val="fi-FI"/>
    </w:rPr>
  </w:style>
  <w:style w:type="paragraph" w:styleId="Otsikko">
    <w:name w:val="Title"/>
    <w:basedOn w:val="Normaali"/>
    <w:next w:val="Normaali"/>
    <w:link w:val="Otsikko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OtsikkoChar">
    <w:name w:val="Otsikko Char"/>
    <w:link w:val="Otsikko"/>
    <w:uiPriority w:val="10"/>
    <w:rsid w:val="0025096A"/>
    <w:rPr>
      <w:rFonts w:ascii="Arial" w:eastAsia="MS PGothic" w:hAnsi="Arial" w:cs="Times New Roman"/>
      <w:color w:val="AD351E"/>
      <w:spacing w:val="5"/>
      <w:kern w:val="28"/>
      <w:sz w:val="52"/>
      <w:szCs w:val="52"/>
    </w:rPr>
  </w:style>
  <w:style w:type="character" w:customStyle="1" w:styleId="Otsikko2Char">
    <w:name w:val="Otsikko 2 Char"/>
    <w:link w:val="Otsikko2"/>
    <w:uiPriority w:val="9"/>
    <w:rsid w:val="00620E1F"/>
    <w:rPr>
      <w:rFonts w:ascii="Arial" w:eastAsia="MS PGothic" w:hAnsi="Arial" w:cs="Times New Roman"/>
      <w:b/>
      <w:color w:val="DC5034"/>
      <w:sz w:val="26"/>
      <w:szCs w:val="26"/>
      <w:lang w:val="fi-FI"/>
    </w:rPr>
  </w:style>
  <w:style w:type="character" w:customStyle="1" w:styleId="Otsikko3Char">
    <w:name w:val="Otsikko 3 Char"/>
    <w:link w:val="Otsikko3"/>
    <w:uiPriority w:val="9"/>
    <w:rsid w:val="00620E1F"/>
    <w:rPr>
      <w:rFonts w:ascii="Arial" w:eastAsia="MS PGothic" w:hAnsi="Arial" w:cs="Times New Roman"/>
      <w:bCs/>
      <w:color w:val="DC5034"/>
      <w:sz w:val="26"/>
      <w:szCs w:val="26"/>
      <w:lang w:val="fi-FI"/>
    </w:rPr>
  </w:style>
  <w:style w:type="paragraph" w:customStyle="1" w:styleId="Ooitekentt">
    <w:name w:val="Ooitekenttä"/>
    <w:basedOn w:val="Normaali"/>
    <w:uiPriority w:val="1"/>
    <w:qFormat/>
    <w:rsid w:val="0042316A"/>
    <w:pPr>
      <w:spacing w:line="280" w:lineRule="exact"/>
    </w:pPr>
    <w:rPr>
      <w:sz w:val="22"/>
      <w:lang w:val="en-US"/>
    </w:rPr>
  </w:style>
  <w:style w:type="paragraph" w:styleId="Luettelokappale">
    <w:name w:val="List Paragraph"/>
    <w:basedOn w:val="Normaali"/>
    <w:uiPriority w:val="34"/>
    <w:qFormat/>
    <w:rsid w:val="00E813C7"/>
    <w:pPr>
      <w:widowControl/>
      <w:spacing w:after="160" w:line="259" w:lineRule="auto"/>
      <w:ind w:left="720"/>
      <w:contextualSpacing/>
    </w:pPr>
    <w:rPr>
      <w:rFonts w:ascii="Calibri" w:eastAsia="Calibri" w:hAnsi="Calibri"/>
      <w:color w:val="auto"/>
      <w:sz w:val="22"/>
    </w:rPr>
  </w:style>
  <w:style w:type="paragraph" w:customStyle="1" w:styleId="Pivysjadiaarinumero">
    <w:name w:val="Päiväys ja diaarinumero"/>
    <w:basedOn w:val="Ooitekentt"/>
    <w:uiPriority w:val="1"/>
    <w:qFormat/>
    <w:rsid w:val="00A24839"/>
    <w:pPr>
      <w:jc w:val="right"/>
    </w:pPr>
  </w:style>
  <w:style w:type="character" w:styleId="Hyperlinkki">
    <w:name w:val="Hyperlink"/>
    <w:basedOn w:val="Kappaleenoletusfontti"/>
    <w:uiPriority w:val="99"/>
    <w:unhideWhenUsed/>
    <w:rsid w:val="000918BA"/>
    <w:rPr>
      <w:color w:val="0563C1"/>
      <w:u w:val="single"/>
    </w:rPr>
  </w:style>
  <w:style w:type="paragraph" w:styleId="Alaotsikko">
    <w:name w:val="Subtitle"/>
    <w:basedOn w:val="Normaali"/>
    <w:next w:val="Normaali"/>
    <w:link w:val="AlaotsikkoChar"/>
    <w:uiPriority w:val="11"/>
    <w:qFormat/>
    <w:rsid w:val="00C049D4"/>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laotsikkoChar">
    <w:name w:val="Alaotsikko Char"/>
    <w:basedOn w:val="Kappaleenoletusfontti"/>
    <w:link w:val="Alaotsikko"/>
    <w:uiPriority w:val="11"/>
    <w:rsid w:val="00C049D4"/>
    <w:rPr>
      <w:rFonts w:asciiTheme="minorHAnsi" w:eastAsiaTheme="minorEastAsia" w:hAnsiTheme="minorHAnsi" w:cstheme="minorBidi"/>
      <w:color w:val="5A5A5A" w:themeColor="text1" w:themeTint="A5"/>
      <w:spacing w:val="15"/>
      <w:sz w:val="22"/>
      <w:szCs w:val="22"/>
      <w:lang w:eastAsia="en-US"/>
    </w:rPr>
  </w:style>
  <w:style w:type="character" w:customStyle="1" w:styleId="Otsikko4Char">
    <w:name w:val="Otsikko 4 Char"/>
    <w:basedOn w:val="Kappaleenoletusfontti"/>
    <w:link w:val="Otsikko4"/>
    <w:uiPriority w:val="9"/>
    <w:rsid w:val="00802426"/>
    <w:rPr>
      <w:rFonts w:asciiTheme="majorHAnsi" w:eastAsiaTheme="majorEastAsia" w:hAnsiTheme="majorHAnsi" w:cstheme="majorBidi"/>
      <w:i/>
      <w:iCs/>
      <w:color w:val="365F91" w:themeColor="accent1" w:themeShade="BF"/>
      <w:sz w:val="18"/>
      <w:szCs w:val="22"/>
      <w:lang w:eastAsia="en-US"/>
    </w:rPr>
  </w:style>
  <w:style w:type="character" w:customStyle="1" w:styleId="Otsikko5Char">
    <w:name w:val="Otsikko 5 Char"/>
    <w:basedOn w:val="Kappaleenoletusfontti"/>
    <w:link w:val="Otsikko5"/>
    <w:uiPriority w:val="9"/>
    <w:rsid w:val="00802426"/>
    <w:rPr>
      <w:rFonts w:asciiTheme="majorHAnsi" w:eastAsiaTheme="majorEastAsia" w:hAnsiTheme="majorHAnsi" w:cstheme="majorBidi"/>
      <w:color w:val="365F91" w:themeColor="accent1" w:themeShade="BF"/>
      <w:sz w:val="18"/>
      <w:szCs w:val="22"/>
      <w:lang w:eastAsia="en-US"/>
    </w:rPr>
  </w:style>
  <w:style w:type="character" w:customStyle="1" w:styleId="Otsikko6Char">
    <w:name w:val="Otsikko 6 Char"/>
    <w:basedOn w:val="Kappaleenoletusfontti"/>
    <w:link w:val="Otsikko6"/>
    <w:uiPriority w:val="9"/>
    <w:rsid w:val="00802426"/>
    <w:rPr>
      <w:rFonts w:asciiTheme="majorHAnsi" w:eastAsiaTheme="majorEastAsia" w:hAnsiTheme="majorHAnsi" w:cstheme="majorBidi"/>
      <w:color w:val="243F60" w:themeColor="accent1" w:themeShade="7F"/>
      <w:sz w:val="18"/>
      <w:szCs w:val="22"/>
      <w:lang w:eastAsia="en-US"/>
    </w:rPr>
  </w:style>
  <w:style w:type="character" w:customStyle="1" w:styleId="Otsikko7Char">
    <w:name w:val="Otsikko 7 Char"/>
    <w:basedOn w:val="Kappaleenoletusfontti"/>
    <w:link w:val="Otsikko7"/>
    <w:uiPriority w:val="9"/>
    <w:rsid w:val="00802426"/>
    <w:rPr>
      <w:rFonts w:asciiTheme="majorHAnsi" w:eastAsiaTheme="majorEastAsia" w:hAnsiTheme="majorHAnsi" w:cstheme="majorBidi"/>
      <w:i/>
      <w:iCs/>
      <w:color w:val="243F60" w:themeColor="accent1" w:themeShade="7F"/>
      <w:sz w:val="18"/>
      <w:szCs w:val="22"/>
      <w:lang w:eastAsia="en-US"/>
    </w:rPr>
  </w:style>
  <w:style w:type="character" w:customStyle="1" w:styleId="Otsikko8Char">
    <w:name w:val="Otsikko 8 Char"/>
    <w:basedOn w:val="Kappaleenoletusfontti"/>
    <w:link w:val="Otsikko8"/>
    <w:uiPriority w:val="9"/>
    <w:rsid w:val="00802426"/>
    <w:rPr>
      <w:rFonts w:asciiTheme="majorHAnsi" w:eastAsiaTheme="majorEastAsia" w:hAnsiTheme="majorHAnsi" w:cstheme="majorBidi"/>
      <w:color w:val="272727" w:themeColor="text1" w:themeTint="D8"/>
      <w:sz w:val="21"/>
      <w:szCs w:val="21"/>
      <w:lang w:eastAsia="en-US"/>
    </w:rPr>
  </w:style>
  <w:style w:type="character" w:customStyle="1" w:styleId="Otsikko9Char">
    <w:name w:val="Otsikko 9 Char"/>
    <w:basedOn w:val="Kappaleenoletusfontti"/>
    <w:link w:val="Otsikko9"/>
    <w:uiPriority w:val="9"/>
    <w:rsid w:val="00802426"/>
    <w:rPr>
      <w:rFonts w:asciiTheme="majorHAnsi" w:eastAsiaTheme="majorEastAsia" w:hAnsiTheme="majorHAnsi" w:cstheme="majorBidi"/>
      <w:i/>
      <w:iCs/>
      <w:color w:val="272727" w:themeColor="text1" w:themeTint="D8"/>
      <w:sz w:val="21"/>
      <w:szCs w:val="21"/>
      <w:lang w:eastAsia="en-US"/>
    </w:rPr>
  </w:style>
  <w:style w:type="paragraph" w:styleId="Eivli">
    <w:name w:val="No Spacing"/>
    <w:link w:val="EivliChar"/>
    <w:uiPriority w:val="1"/>
    <w:qFormat/>
    <w:rsid w:val="00271721"/>
    <w:rPr>
      <w:rFonts w:asciiTheme="minorHAnsi" w:eastAsiaTheme="minorEastAsia" w:hAnsiTheme="minorHAnsi" w:cstheme="minorBidi"/>
      <w:sz w:val="22"/>
      <w:szCs w:val="22"/>
    </w:rPr>
  </w:style>
  <w:style w:type="character" w:customStyle="1" w:styleId="EivliChar">
    <w:name w:val="Ei väliä Char"/>
    <w:basedOn w:val="Kappaleenoletusfontti"/>
    <w:link w:val="Eivli"/>
    <w:uiPriority w:val="1"/>
    <w:rsid w:val="0027172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4355">
      <w:bodyDiv w:val="1"/>
      <w:marLeft w:val="0"/>
      <w:marRight w:val="0"/>
      <w:marTop w:val="0"/>
      <w:marBottom w:val="0"/>
      <w:divBdr>
        <w:top w:val="none" w:sz="0" w:space="0" w:color="auto"/>
        <w:left w:val="none" w:sz="0" w:space="0" w:color="auto"/>
        <w:bottom w:val="none" w:sz="0" w:space="0" w:color="auto"/>
        <w:right w:val="none" w:sz="0" w:space="0" w:color="auto"/>
      </w:divBdr>
      <w:divsChild>
        <w:div w:id="1981687468">
          <w:marLeft w:val="0"/>
          <w:marRight w:val="0"/>
          <w:marTop w:val="0"/>
          <w:marBottom w:val="300"/>
          <w:divBdr>
            <w:top w:val="none" w:sz="0" w:space="0" w:color="auto"/>
            <w:left w:val="none" w:sz="0" w:space="0" w:color="auto"/>
            <w:bottom w:val="none" w:sz="0" w:space="0" w:color="auto"/>
            <w:right w:val="none" w:sz="0" w:space="0" w:color="auto"/>
          </w:divBdr>
          <w:divsChild>
            <w:div w:id="2053799427">
              <w:marLeft w:val="0"/>
              <w:marRight w:val="0"/>
              <w:marTop w:val="0"/>
              <w:marBottom w:val="0"/>
              <w:divBdr>
                <w:top w:val="none" w:sz="0" w:space="0" w:color="auto"/>
                <w:left w:val="none" w:sz="0" w:space="0" w:color="auto"/>
                <w:bottom w:val="none" w:sz="0" w:space="0" w:color="auto"/>
                <w:right w:val="none" w:sz="0" w:space="0" w:color="auto"/>
              </w:divBdr>
              <w:divsChild>
                <w:div w:id="1938948493">
                  <w:marLeft w:val="0"/>
                  <w:marRight w:val="0"/>
                  <w:marTop w:val="0"/>
                  <w:marBottom w:val="0"/>
                  <w:divBdr>
                    <w:top w:val="none" w:sz="0" w:space="0" w:color="auto"/>
                    <w:left w:val="none" w:sz="0" w:space="0" w:color="auto"/>
                    <w:bottom w:val="none" w:sz="0" w:space="0" w:color="auto"/>
                    <w:right w:val="none" w:sz="0" w:space="0" w:color="auto"/>
                  </w:divBdr>
                  <w:divsChild>
                    <w:div w:id="967321215">
                      <w:marLeft w:val="0"/>
                      <w:marRight w:val="0"/>
                      <w:marTop w:val="0"/>
                      <w:marBottom w:val="0"/>
                      <w:divBdr>
                        <w:top w:val="none" w:sz="0" w:space="0" w:color="auto"/>
                        <w:left w:val="none" w:sz="0" w:space="0" w:color="auto"/>
                        <w:bottom w:val="none" w:sz="0" w:space="0" w:color="auto"/>
                        <w:right w:val="none" w:sz="0" w:space="0" w:color="auto"/>
                      </w:divBdr>
                      <w:divsChild>
                        <w:div w:id="2081244863">
                          <w:marLeft w:val="0"/>
                          <w:marRight w:val="0"/>
                          <w:marTop w:val="0"/>
                          <w:marBottom w:val="0"/>
                          <w:divBdr>
                            <w:top w:val="none" w:sz="0" w:space="0" w:color="auto"/>
                            <w:left w:val="none" w:sz="0" w:space="0" w:color="auto"/>
                            <w:bottom w:val="none" w:sz="0" w:space="0" w:color="auto"/>
                            <w:right w:val="none" w:sz="0" w:space="0" w:color="auto"/>
                          </w:divBdr>
                          <w:divsChild>
                            <w:div w:id="928195476">
                              <w:marLeft w:val="0"/>
                              <w:marRight w:val="0"/>
                              <w:marTop w:val="0"/>
                              <w:marBottom w:val="0"/>
                              <w:divBdr>
                                <w:top w:val="none" w:sz="0" w:space="0" w:color="auto"/>
                                <w:left w:val="none" w:sz="0" w:space="0" w:color="auto"/>
                                <w:bottom w:val="none" w:sz="0" w:space="0" w:color="auto"/>
                                <w:right w:val="none" w:sz="0" w:space="0" w:color="auto"/>
                              </w:divBdr>
                              <w:divsChild>
                                <w:div w:id="1960986504">
                                  <w:marLeft w:val="0"/>
                                  <w:marRight w:val="0"/>
                                  <w:marTop w:val="0"/>
                                  <w:marBottom w:val="0"/>
                                  <w:divBdr>
                                    <w:top w:val="none" w:sz="0" w:space="0" w:color="auto"/>
                                    <w:left w:val="none" w:sz="0" w:space="0" w:color="auto"/>
                                    <w:bottom w:val="none" w:sz="0" w:space="0" w:color="auto"/>
                                    <w:right w:val="none" w:sz="0" w:space="0" w:color="auto"/>
                                  </w:divBdr>
                                  <w:divsChild>
                                    <w:div w:id="756288622">
                                      <w:marLeft w:val="0"/>
                                      <w:marRight w:val="0"/>
                                      <w:marTop w:val="0"/>
                                      <w:marBottom w:val="0"/>
                                      <w:divBdr>
                                        <w:top w:val="none" w:sz="0" w:space="0" w:color="auto"/>
                                        <w:left w:val="none" w:sz="0" w:space="0" w:color="auto"/>
                                        <w:bottom w:val="none" w:sz="0" w:space="0" w:color="auto"/>
                                        <w:right w:val="none" w:sz="0" w:space="0" w:color="auto"/>
                                      </w:divBdr>
                                      <w:divsChild>
                                        <w:div w:id="2537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122990">
      <w:bodyDiv w:val="1"/>
      <w:marLeft w:val="0"/>
      <w:marRight w:val="0"/>
      <w:marTop w:val="0"/>
      <w:marBottom w:val="0"/>
      <w:divBdr>
        <w:top w:val="none" w:sz="0" w:space="0" w:color="auto"/>
        <w:left w:val="none" w:sz="0" w:space="0" w:color="auto"/>
        <w:bottom w:val="none" w:sz="0" w:space="0" w:color="auto"/>
        <w:right w:val="none" w:sz="0" w:space="0" w:color="auto"/>
      </w:divBdr>
    </w:div>
    <w:div w:id="1514346406">
      <w:bodyDiv w:val="1"/>
      <w:marLeft w:val="0"/>
      <w:marRight w:val="0"/>
      <w:marTop w:val="0"/>
      <w:marBottom w:val="0"/>
      <w:divBdr>
        <w:top w:val="none" w:sz="0" w:space="0" w:color="auto"/>
        <w:left w:val="none" w:sz="0" w:space="0" w:color="auto"/>
        <w:bottom w:val="none" w:sz="0" w:space="0" w:color="auto"/>
        <w:right w:val="none" w:sz="0" w:space="0" w:color="auto"/>
      </w:divBdr>
      <w:divsChild>
        <w:div w:id="664623680">
          <w:marLeft w:val="0"/>
          <w:marRight w:val="0"/>
          <w:marTop w:val="0"/>
          <w:marBottom w:val="0"/>
          <w:divBdr>
            <w:top w:val="none" w:sz="0" w:space="0" w:color="auto"/>
            <w:left w:val="none" w:sz="0" w:space="0" w:color="auto"/>
            <w:bottom w:val="none" w:sz="0" w:space="0" w:color="auto"/>
            <w:right w:val="none" w:sz="0" w:space="0" w:color="auto"/>
          </w:divBdr>
          <w:divsChild>
            <w:div w:id="2110849572">
              <w:marLeft w:val="0"/>
              <w:marRight w:val="0"/>
              <w:marTop w:val="0"/>
              <w:marBottom w:val="0"/>
              <w:divBdr>
                <w:top w:val="none" w:sz="0" w:space="0" w:color="auto"/>
                <w:left w:val="none" w:sz="0" w:space="0" w:color="auto"/>
                <w:bottom w:val="none" w:sz="0" w:space="0" w:color="auto"/>
                <w:right w:val="none" w:sz="0" w:space="0" w:color="auto"/>
              </w:divBdr>
              <w:divsChild>
                <w:div w:id="1260865884">
                  <w:marLeft w:val="0"/>
                  <w:marRight w:val="0"/>
                  <w:marTop w:val="0"/>
                  <w:marBottom w:val="0"/>
                  <w:divBdr>
                    <w:top w:val="none" w:sz="0" w:space="0" w:color="auto"/>
                    <w:left w:val="none" w:sz="0" w:space="0" w:color="auto"/>
                    <w:bottom w:val="none" w:sz="0" w:space="0" w:color="auto"/>
                    <w:right w:val="none" w:sz="0" w:space="0" w:color="auto"/>
                  </w:divBdr>
                  <w:divsChild>
                    <w:div w:id="1328054063">
                      <w:marLeft w:val="0"/>
                      <w:marRight w:val="0"/>
                      <w:marTop w:val="0"/>
                      <w:marBottom w:val="0"/>
                      <w:divBdr>
                        <w:top w:val="none" w:sz="0" w:space="0" w:color="auto"/>
                        <w:left w:val="none" w:sz="0" w:space="0" w:color="auto"/>
                        <w:bottom w:val="none" w:sz="0" w:space="0" w:color="auto"/>
                        <w:right w:val="none" w:sz="0" w:space="0" w:color="auto"/>
                      </w:divBdr>
                      <w:divsChild>
                        <w:div w:id="2038117952">
                          <w:marLeft w:val="0"/>
                          <w:marRight w:val="0"/>
                          <w:marTop w:val="0"/>
                          <w:marBottom w:val="0"/>
                          <w:divBdr>
                            <w:top w:val="none" w:sz="0" w:space="0" w:color="auto"/>
                            <w:left w:val="none" w:sz="0" w:space="0" w:color="auto"/>
                            <w:bottom w:val="none" w:sz="0" w:space="0" w:color="auto"/>
                            <w:right w:val="none" w:sz="0" w:space="0" w:color="auto"/>
                          </w:divBdr>
                          <w:divsChild>
                            <w:div w:id="252858780">
                              <w:marLeft w:val="0"/>
                              <w:marRight w:val="0"/>
                              <w:marTop w:val="0"/>
                              <w:marBottom w:val="0"/>
                              <w:divBdr>
                                <w:top w:val="none" w:sz="0" w:space="0" w:color="auto"/>
                                <w:left w:val="none" w:sz="0" w:space="0" w:color="auto"/>
                                <w:bottom w:val="none" w:sz="0" w:space="0" w:color="auto"/>
                                <w:right w:val="none" w:sz="0" w:space="0" w:color="auto"/>
                              </w:divBdr>
                              <w:divsChild>
                                <w:div w:id="290211805">
                                  <w:marLeft w:val="0"/>
                                  <w:marRight w:val="0"/>
                                  <w:marTop w:val="0"/>
                                  <w:marBottom w:val="0"/>
                                  <w:divBdr>
                                    <w:top w:val="none" w:sz="0" w:space="0" w:color="auto"/>
                                    <w:left w:val="none" w:sz="0" w:space="0" w:color="auto"/>
                                    <w:bottom w:val="none" w:sz="0" w:space="0" w:color="auto"/>
                                    <w:right w:val="none" w:sz="0" w:space="0" w:color="auto"/>
                                  </w:divBdr>
                                  <w:divsChild>
                                    <w:div w:id="1230388018">
                                      <w:marLeft w:val="0"/>
                                      <w:marRight w:val="0"/>
                                      <w:marTop w:val="0"/>
                                      <w:marBottom w:val="0"/>
                                      <w:divBdr>
                                        <w:top w:val="none" w:sz="0" w:space="0" w:color="auto"/>
                                        <w:left w:val="none" w:sz="0" w:space="0" w:color="auto"/>
                                        <w:bottom w:val="none" w:sz="0" w:space="0" w:color="auto"/>
                                        <w:right w:val="none" w:sz="0" w:space="0" w:color="auto"/>
                                      </w:divBdr>
                                      <w:divsChild>
                                        <w:div w:id="316542895">
                                          <w:marLeft w:val="0"/>
                                          <w:marRight w:val="0"/>
                                          <w:marTop w:val="0"/>
                                          <w:marBottom w:val="0"/>
                                          <w:divBdr>
                                            <w:top w:val="none" w:sz="0" w:space="0" w:color="auto"/>
                                            <w:left w:val="none" w:sz="0" w:space="0" w:color="auto"/>
                                            <w:bottom w:val="none" w:sz="0" w:space="0" w:color="auto"/>
                                            <w:right w:val="none" w:sz="0" w:space="0" w:color="auto"/>
                                          </w:divBdr>
                                          <w:divsChild>
                                            <w:div w:id="342785874">
                                              <w:marLeft w:val="0"/>
                                              <w:marRight w:val="0"/>
                                              <w:marTop w:val="0"/>
                                              <w:marBottom w:val="0"/>
                                              <w:divBdr>
                                                <w:top w:val="none" w:sz="0" w:space="0" w:color="auto"/>
                                                <w:left w:val="none" w:sz="0" w:space="0" w:color="auto"/>
                                                <w:bottom w:val="none" w:sz="0" w:space="0" w:color="auto"/>
                                                <w:right w:val="none" w:sz="0" w:space="0" w:color="auto"/>
                                              </w:divBdr>
                                              <w:divsChild>
                                                <w:div w:id="1661690724">
                                                  <w:marLeft w:val="0"/>
                                                  <w:marRight w:val="0"/>
                                                  <w:marTop w:val="0"/>
                                                  <w:marBottom w:val="0"/>
                                                  <w:divBdr>
                                                    <w:top w:val="none" w:sz="0" w:space="0" w:color="auto"/>
                                                    <w:left w:val="none" w:sz="0" w:space="0" w:color="auto"/>
                                                    <w:bottom w:val="none" w:sz="0" w:space="0" w:color="auto"/>
                                                    <w:right w:val="none" w:sz="0" w:space="0" w:color="auto"/>
                                                  </w:divBdr>
                                                  <w:divsChild>
                                                    <w:div w:id="14834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546291">
      <w:bodyDiv w:val="1"/>
      <w:marLeft w:val="0"/>
      <w:marRight w:val="0"/>
      <w:marTop w:val="0"/>
      <w:marBottom w:val="0"/>
      <w:divBdr>
        <w:top w:val="none" w:sz="0" w:space="0" w:color="auto"/>
        <w:left w:val="none" w:sz="0" w:space="0" w:color="auto"/>
        <w:bottom w:val="none" w:sz="0" w:space="0" w:color="auto"/>
        <w:right w:val="none" w:sz="0" w:space="0" w:color="auto"/>
      </w:divBdr>
    </w:div>
    <w:div w:id="1817187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9126-58AF-417A-8F42-85D644DB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1264</Words>
  <Characters>10241</Characters>
  <Application>Microsoft Office Word</Application>
  <DocSecurity>0</DocSecurity>
  <Lines>85</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Werklig</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Leikas Leena</dc:creator>
  <cp:lastModifiedBy>Villa Susan</cp:lastModifiedBy>
  <cp:revision>6</cp:revision>
  <cp:lastPrinted>2018-02-20T08:17:00Z</cp:lastPrinted>
  <dcterms:created xsi:type="dcterms:W3CDTF">2019-10-29T09:54:00Z</dcterms:created>
  <dcterms:modified xsi:type="dcterms:W3CDTF">2019-10-29T09:59:00Z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ies>
</file>