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487B" w14:textId="77777777" w:rsidR="00EC0DDF" w:rsidRPr="009D5506" w:rsidRDefault="00EC0DDF" w:rsidP="00EC0DDF">
      <w:pPr>
        <w:shd w:val="clear" w:color="auto" w:fill="FFFFFF"/>
        <w:rPr>
          <w:rFonts w:ascii="Arial" w:hAnsi="Arial"/>
          <w:b/>
          <w:sz w:val="22"/>
          <w:szCs w:val="22"/>
          <w:lang w:val="en-GB"/>
        </w:rPr>
      </w:pPr>
    </w:p>
    <w:p w14:paraId="633E6402" w14:textId="77777777" w:rsidR="009D5506" w:rsidRPr="009D5506" w:rsidRDefault="009D5506" w:rsidP="009D5506">
      <w:pPr>
        <w:spacing w:after="160" w:line="259" w:lineRule="auto"/>
        <w:jc w:val="right"/>
        <w:rPr>
          <w:rFonts w:ascii="Arial" w:eastAsia="Calibri" w:hAnsi="Arial" w:cs="Arial"/>
          <w:sz w:val="22"/>
          <w:szCs w:val="22"/>
          <w:lang w:val="en-GB" w:eastAsia="en-US"/>
        </w:rPr>
      </w:pPr>
      <w:r w:rsidRPr="009D5506">
        <w:rPr>
          <w:rFonts w:ascii="Arial" w:eastAsia="Calibri" w:hAnsi="Arial" w:cs="Arial"/>
          <w:sz w:val="22"/>
          <w:szCs w:val="22"/>
          <w:lang w:val="en-GB" w:eastAsia="en-US"/>
        </w:rPr>
        <w:t>EOAK/3040/2019, IOK/32/2019</w:t>
      </w:r>
    </w:p>
    <w:p w14:paraId="6B8F8BF2" w14:textId="77777777" w:rsidR="009D5506" w:rsidRPr="009D5506" w:rsidRDefault="00AA65F5" w:rsidP="009D5506">
      <w:pPr>
        <w:spacing w:after="160" w:line="259" w:lineRule="auto"/>
        <w:rPr>
          <w:rFonts w:ascii="Arial" w:eastAsia="Calibri" w:hAnsi="Arial" w:cs="Arial"/>
          <w:sz w:val="22"/>
          <w:szCs w:val="22"/>
          <w:lang w:val="en-GB" w:eastAsia="en-US"/>
        </w:rPr>
      </w:pPr>
      <w:r>
        <w:rPr>
          <w:rFonts w:ascii="Arial" w:eastAsia="Calibri" w:hAnsi="Arial" w:cs="Arial"/>
          <w:sz w:val="22"/>
          <w:szCs w:val="22"/>
          <w:lang w:val="en-GB" w:eastAsia="en-US"/>
        </w:rPr>
        <w:t>November</w:t>
      </w:r>
      <w:r w:rsidR="009D5506" w:rsidRPr="009D5506">
        <w:rPr>
          <w:rFonts w:ascii="Arial" w:eastAsia="Calibri" w:hAnsi="Arial" w:cs="Arial"/>
          <w:sz w:val="22"/>
          <w:szCs w:val="22"/>
          <w:lang w:val="en-GB" w:eastAsia="en-US"/>
        </w:rPr>
        <w:t xml:space="preserve"> </w:t>
      </w:r>
      <w:r>
        <w:rPr>
          <w:rFonts w:ascii="Arial" w:eastAsia="Calibri" w:hAnsi="Arial" w:cs="Arial"/>
          <w:sz w:val="22"/>
          <w:szCs w:val="22"/>
          <w:lang w:val="en-GB" w:eastAsia="en-US"/>
        </w:rPr>
        <w:t>19</w:t>
      </w:r>
      <w:r w:rsidR="009D5506" w:rsidRPr="009D5506">
        <w:rPr>
          <w:rFonts w:ascii="Arial" w:eastAsia="Calibri" w:hAnsi="Arial" w:cs="Arial"/>
          <w:sz w:val="22"/>
          <w:szCs w:val="22"/>
          <w:lang w:val="en-GB" w:eastAsia="en-US"/>
        </w:rPr>
        <w:t>, 2019</w:t>
      </w:r>
      <w:r w:rsidR="009D5506" w:rsidRPr="009D5506">
        <w:rPr>
          <w:rFonts w:ascii="Arial" w:eastAsia="Calibri" w:hAnsi="Arial" w:cs="Arial"/>
          <w:sz w:val="22"/>
          <w:szCs w:val="22"/>
          <w:lang w:val="en-GB" w:eastAsia="en-US"/>
        </w:rPr>
        <w:tab/>
      </w:r>
      <w:r w:rsidR="009D5506" w:rsidRPr="009D5506">
        <w:rPr>
          <w:rFonts w:ascii="Arial" w:eastAsia="Calibri" w:hAnsi="Arial" w:cs="Arial"/>
          <w:sz w:val="22"/>
          <w:szCs w:val="22"/>
          <w:lang w:val="en-GB" w:eastAsia="en-US"/>
        </w:rPr>
        <w:tab/>
      </w:r>
    </w:p>
    <w:p w14:paraId="7CF8C057" w14:textId="77777777" w:rsidR="009D5506" w:rsidRPr="009D5506" w:rsidRDefault="009D5506" w:rsidP="009D5506">
      <w:pPr>
        <w:spacing w:after="160" w:line="259" w:lineRule="auto"/>
        <w:rPr>
          <w:rFonts w:ascii="Arial" w:eastAsia="Calibri" w:hAnsi="Arial" w:cs="Arial"/>
          <w:sz w:val="22"/>
          <w:szCs w:val="22"/>
          <w:lang w:val="en-GB" w:eastAsia="en-US"/>
        </w:rPr>
      </w:pPr>
    </w:p>
    <w:p w14:paraId="6DF7CC81" w14:textId="77777777" w:rsidR="009D5506" w:rsidRPr="009D5506" w:rsidRDefault="009D5506" w:rsidP="009D5506">
      <w:pPr>
        <w:spacing w:line="240" w:lineRule="auto"/>
        <w:rPr>
          <w:rFonts w:ascii="Arial" w:eastAsia="Calibri" w:hAnsi="Arial" w:cs="Arial"/>
          <w:sz w:val="22"/>
          <w:szCs w:val="22"/>
          <w:lang w:val="en-GB" w:eastAsia="en-US"/>
        </w:rPr>
      </w:pPr>
      <w:r w:rsidRPr="009D5506">
        <w:rPr>
          <w:rFonts w:ascii="Arial" w:eastAsia="Calibri" w:hAnsi="Arial" w:cs="Arial"/>
          <w:sz w:val="22"/>
          <w:szCs w:val="22"/>
          <w:lang w:val="en-GB" w:eastAsia="en-US"/>
        </w:rPr>
        <w:t>National Institutions, Regional Mechanisms and Civil Society Section</w:t>
      </w:r>
    </w:p>
    <w:p w14:paraId="566D574A" w14:textId="77777777" w:rsidR="009D5506" w:rsidRPr="009D5506" w:rsidRDefault="009D5506" w:rsidP="009D5506">
      <w:pPr>
        <w:spacing w:line="240" w:lineRule="auto"/>
        <w:rPr>
          <w:rFonts w:ascii="Arial" w:eastAsia="Calibri" w:hAnsi="Arial" w:cs="Arial"/>
          <w:sz w:val="22"/>
          <w:szCs w:val="22"/>
          <w:lang w:val="en-GB" w:eastAsia="en-US"/>
        </w:rPr>
      </w:pPr>
      <w:r w:rsidRPr="009D5506">
        <w:rPr>
          <w:rFonts w:ascii="Arial" w:eastAsia="Calibri" w:hAnsi="Arial" w:cs="Arial"/>
          <w:sz w:val="22"/>
          <w:szCs w:val="22"/>
          <w:lang w:val="en-GB" w:eastAsia="en-US"/>
        </w:rPr>
        <w:t>OHCHR</w:t>
      </w:r>
    </w:p>
    <w:p w14:paraId="3BBA9769" w14:textId="77777777" w:rsidR="009D5506" w:rsidRPr="009D5506" w:rsidRDefault="009D5506" w:rsidP="009D5506">
      <w:pPr>
        <w:spacing w:line="240" w:lineRule="auto"/>
        <w:rPr>
          <w:rFonts w:ascii="Arial" w:eastAsia="Calibri" w:hAnsi="Arial" w:cs="Arial"/>
          <w:sz w:val="22"/>
          <w:szCs w:val="22"/>
          <w:lang w:val="en-GB" w:eastAsia="en-US"/>
        </w:rPr>
      </w:pPr>
      <w:r w:rsidRPr="009D5506">
        <w:rPr>
          <w:rFonts w:ascii="Arial" w:eastAsia="Calibri" w:hAnsi="Arial" w:cs="Arial"/>
          <w:sz w:val="22"/>
          <w:szCs w:val="22"/>
          <w:lang w:val="en-GB" w:eastAsia="en-US"/>
        </w:rPr>
        <w:t>CH-1211 Geneva 10</w:t>
      </w:r>
    </w:p>
    <w:p w14:paraId="004F75B5" w14:textId="77777777" w:rsidR="009D5506" w:rsidRPr="009D5506" w:rsidRDefault="009D5506" w:rsidP="009D5506">
      <w:pPr>
        <w:spacing w:line="240" w:lineRule="auto"/>
        <w:rPr>
          <w:rFonts w:ascii="Arial" w:eastAsia="Calibri" w:hAnsi="Arial" w:cs="Arial"/>
          <w:sz w:val="22"/>
          <w:szCs w:val="22"/>
          <w:lang w:val="en-GB" w:eastAsia="en-US"/>
        </w:rPr>
      </w:pPr>
      <w:r w:rsidRPr="009D5506">
        <w:rPr>
          <w:rFonts w:ascii="Arial" w:eastAsia="Calibri" w:hAnsi="Arial" w:cs="Arial"/>
          <w:sz w:val="22"/>
          <w:szCs w:val="22"/>
          <w:lang w:val="en-GB" w:eastAsia="en-US"/>
        </w:rPr>
        <w:t>Switzerland</w:t>
      </w:r>
    </w:p>
    <w:p w14:paraId="03635D13" w14:textId="77777777" w:rsidR="009D5506" w:rsidRPr="009D5506" w:rsidRDefault="009D5506" w:rsidP="009D5506">
      <w:pPr>
        <w:spacing w:line="240" w:lineRule="auto"/>
        <w:rPr>
          <w:rFonts w:ascii="Arial" w:eastAsia="Calibri" w:hAnsi="Arial" w:cs="Arial"/>
          <w:sz w:val="22"/>
          <w:szCs w:val="22"/>
          <w:lang w:val="en-GB" w:eastAsia="en-US"/>
        </w:rPr>
      </w:pPr>
    </w:p>
    <w:p w14:paraId="15F65DD9" w14:textId="77777777" w:rsidR="009D5506" w:rsidRPr="009D5506" w:rsidRDefault="009D5506" w:rsidP="009D5506">
      <w:pPr>
        <w:spacing w:line="240" w:lineRule="auto"/>
        <w:rPr>
          <w:rFonts w:ascii="Arial" w:eastAsia="Calibri" w:hAnsi="Arial" w:cs="Arial"/>
          <w:sz w:val="22"/>
          <w:szCs w:val="22"/>
          <w:lang w:val="en-GB" w:eastAsia="en-US"/>
        </w:rPr>
      </w:pPr>
      <w:r w:rsidRPr="009D5506">
        <w:rPr>
          <w:rFonts w:ascii="Arial" w:eastAsia="Calibri" w:hAnsi="Arial" w:cs="Arial"/>
          <w:sz w:val="22"/>
          <w:szCs w:val="22"/>
          <w:lang w:val="en-GB" w:eastAsia="en-US"/>
        </w:rPr>
        <w:t>and electronically to</w:t>
      </w:r>
    </w:p>
    <w:p w14:paraId="277B1BAC" w14:textId="77777777" w:rsidR="009D5506" w:rsidRPr="009D5506" w:rsidRDefault="009D5506" w:rsidP="009D5506">
      <w:pPr>
        <w:spacing w:line="240" w:lineRule="auto"/>
        <w:rPr>
          <w:rFonts w:ascii="Arial" w:eastAsia="Calibri" w:hAnsi="Arial" w:cs="Arial"/>
          <w:sz w:val="22"/>
          <w:szCs w:val="22"/>
          <w:lang w:val="en-GB" w:eastAsia="en-US"/>
        </w:rPr>
      </w:pPr>
      <w:r w:rsidRPr="009D5506">
        <w:rPr>
          <w:rFonts w:ascii="Arial" w:eastAsia="Calibri" w:hAnsi="Arial" w:cs="Arial"/>
          <w:sz w:val="22"/>
          <w:szCs w:val="22"/>
          <w:lang w:val="en-GB" w:eastAsia="en-US"/>
        </w:rPr>
        <w:t xml:space="preserve">sshahidzadeh@ohchr.org; rmkwawa@ohchr.org; cradert@ohchr.org </w:t>
      </w:r>
    </w:p>
    <w:p w14:paraId="38E14DDE" w14:textId="77777777" w:rsidR="009D5506" w:rsidRPr="009D5506" w:rsidRDefault="009D5506" w:rsidP="009D5506">
      <w:pPr>
        <w:spacing w:after="160" w:line="259" w:lineRule="auto"/>
        <w:rPr>
          <w:rFonts w:ascii="Arial" w:eastAsia="Calibri" w:hAnsi="Arial" w:cs="Arial"/>
          <w:sz w:val="22"/>
          <w:szCs w:val="22"/>
          <w:lang w:val="en-GB" w:eastAsia="en-US"/>
        </w:rPr>
      </w:pPr>
    </w:p>
    <w:p w14:paraId="36751E92" w14:textId="77777777" w:rsidR="009D5506" w:rsidRPr="009D5506" w:rsidRDefault="009D5506" w:rsidP="009D5506">
      <w:pPr>
        <w:spacing w:after="160" w:line="259" w:lineRule="auto"/>
        <w:rPr>
          <w:rFonts w:ascii="Arial" w:eastAsia="Calibri" w:hAnsi="Arial" w:cs="Arial"/>
          <w:sz w:val="22"/>
          <w:szCs w:val="22"/>
          <w:lang w:val="en-GB" w:eastAsia="en-US"/>
        </w:rPr>
      </w:pPr>
    </w:p>
    <w:p w14:paraId="46228BD3" w14:textId="77777777" w:rsidR="009D5506" w:rsidRPr="009D5506" w:rsidRDefault="009D5506" w:rsidP="009D5506">
      <w:pPr>
        <w:spacing w:after="160" w:line="259" w:lineRule="auto"/>
        <w:ind w:left="1304" w:right="284"/>
        <w:jc w:val="both"/>
        <w:rPr>
          <w:rFonts w:ascii="Arial" w:eastAsia="Calibri" w:hAnsi="Arial" w:cs="Arial"/>
          <w:b/>
          <w:sz w:val="22"/>
          <w:szCs w:val="22"/>
          <w:lang w:val="en-GB" w:eastAsia="en-US"/>
        </w:rPr>
      </w:pPr>
      <w:r w:rsidRPr="009D5506">
        <w:rPr>
          <w:rFonts w:ascii="Arial" w:eastAsia="Calibri" w:hAnsi="Arial" w:cs="Arial"/>
          <w:b/>
          <w:sz w:val="22"/>
          <w:szCs w:val="22"/>
          <w:lang w:val="en-GB" w:eastAsia="en-US"/>
        </w:rPr>
        <w:t>To the attention of the Secretariat to the Global Alliance of National Human Rights Institutions</w:t>
      </w:r>
    </w:p>
    <w:p w14:paraId="365AEDC0" w14:textId="77777777" w:rsidR="00DB7022" w:rsidRDefault="00DB7022" w:rsidP="00DB7022">
      <w:pPr>
        <w:spacing w:after="160" w:line="259" w:lineRule="auto"/>
        <w:ind w:left="1304" w:right="284"/>
        <w:jc w:val="both"/>
        <w:rPr>
          <w:rFonts w:ascii="Arial" w:eastAsia="Calibri" w:hAnsi="Arial" w:cs="Arial"/>
          <w:sz w:val="22"/>
          <w:szCs w:val="22"/>
          <w:lang w:val="en-GB" w:eastAsia="en-US"/>
        </w:rPr>
      </w:pPr>
    </w:p>
    <w:p w14:paraId="595FBF42"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Dear </w:t>
      </w:r>
      <w:proofErr w:type="gramStart"/>
      <w:r w:rsidRPr="00DB7022">
        <w:rPr>
          <w:rFonts w:ascii="Arial" w:eastAsia="Calibri" w:hAnsi="Arial" w:cs="Arial"/>
          <w:sz w:val="22"/>
          <w:szCs w:val="22"/>
          <w:lang w:val="en-GB" w:eastAsia="en-US"/>
        </w:rPr>
        <w:t>Ms.</w:t>
      </w:r>
      <w:proofErr w:type="gramEnd"/>
      <w:r w:rsidRPr="00DB7022">
        <w:rPr>
          <w:rFonts w:ascii="Arial" w:eastAsia="Calibri" w:hAnsi="Arial" w:cs="Arial"/>
          <w:sz w:val="22"/>
          <w:szCs w:val="22"/>
          <w:lang w:val="en-GB" w:eastAsia="en-US"/>
        </w:rPr>
        <w:t xml:space="preserve"> </w:t>
      </w:r>
      <w:proofErr w:type="spellStart"/>
      <w:r w:rsidRPr="00DB7022">
        <w:rPr>
          <w:rFonts w:ascii="Arial" w:eastAsia="Calibri" w:hAnsi="Arial" w:cs="Arial"/>
          <w:sz w:val="22"/>
          <w:szCs w:val="22"/>
          <w:lang w:val="en-GB" w:eastAsia="en-US"/>
        </w:rPr>
        <w:t>Shahidzadeh</w:t>
      </w:r>
      <w:proofErr w:type="spellEnd"/>
      <w:r w:rsidRPr="00DB7022">
        <w:rPr>
          <w:rFonts w:ascii="Arial" w:eastAsia="Calibri" w:hAnsi="Arial" w:cs="Arial"/>
          <w:sz w:val="22"/>
          <w:szCs w:val="22"/>
          <w:lang w:val="en-GB" w:eastAsia="en-US"/>
        </w:rPr>
        <w:t>,</w:t>
      </w:r>
    </w:p>
    <w:p w14:paraId="49391F04"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p>
    <w:p w14:paraId="2F67C6B4"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The Finnish NHRI would like to thank the Secretariat of the Global Alliance of National Human Rights Institutions (GANHRI) and the Subcommittee for Accreditation (SCA) for the Recommendations received on 24</w:t>
      </w:r>
      <w:r w:rsidRPr="00DB7022">
        <w:rPr>
          <w:rFonts w:ascii="Arial" w:eastAsia="Calibri" w:hAnsi="Arial" w:cs="Arial"/>
          <w:sz w:val="22"/>
          <w:szCs w:val="22"/>
          <w:vertAlign w:val="superscript"/>
          <w:lang w:val="en-GB" w:eastAsia="en-US"/>
        </w:rPr>
        <w:t>th</w:t>
      </w:r>
      <w:r w:rsidRPr="00DB7022">
        <w:rPr>
          <w:rFonts w:ascii="Arial" w:eastAsia="Calibri" w:hAnsi="Arial" w:cs="Arial"/>
          <w:sz w:val="22"/>
          <w:szCs w:val="22"/>
          <w:lang w:val="en-GB" w:eastAsia="en-US"/>
        </w:rPr>
        <w:t xml:space="preserve"> of October 2019. We highly appreciate the work of both bodies in reviewing our </w:t>
      </w:r>
      <w:proofErr w:type="gramStart"/>
      <w:r w:rsidRPr="00DB7022">
        <w:rPr>
          <w:rFonts w:ascii="Arial" w:eastAsia="Calibri" w:hAnsi="Arial" w:cs="Arial"/>
          <w:sz w:val="22"/>
          <w:szCs w:val="22"/>
          <w:lang w:val="en-GB" w:eastAsia="en-US"/>
        </w:rPr>
        <w:t>application, and</w:t>
      </w:r>
      <w:proofErr w:type="gramEnd"/>
      <w:r w:rsidRPr="00DB7022">
        <w:rPr>
          <w:rFonts w:ascii="Arial" w:eastAsia="Calibri" w:hAnsi="Arial" w:cs="Arial"/>
          <w:sz w:val="22"/>
          <w:szCs w:val="22"/>
          <w:lang w:val="en-GB" w:eastAsia="en-US"/>
        </w:rPr>
        <w:t xml:space="preserve"> welcome the recommendation to re-accredit the Finnish NHRI with A-status. </w:t>
      </w:r>
    </w:p>
    <w:p w14:paraId="3B3EB099"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Although we do not intend to formally challenge the recommendation, we would like to provide some additional factual/legal information on the specific recommendation concerning selection and appointment of the Director of the Human Rights Centre (HRC) already at this stage to enable the SCA to reconsider the specific requirements made. </w:t>
      </w:r>
    </w:p>
    <w:p w14:paraId="6F09A2D0"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As this issue was not addressed in the first accreditation process, nor during the review interview of our reaccreditation application, we were not aware of any concerns regarding it. </w:t>
      </w:r>
    </w:p>
    <w:p w14:paraId="5FB7FF78"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Therefore, we would kindly ask you to provide the SCA members, as well as GANHRI Bureau members, with the following clarification:</w:t>
      </w:r>
    </w:p>
    <w:p w14:paraId="30D08CD1" w14:textId="77777777" w:rsidR="00DB7022" w:rsidRPr="00DB7022" w:rsidRDefault="00DB7022" w:rsidP="00DB7022">
      <w:pPr>
        <w:spacing w:after="160" w:line="259" w:lineRule="auto"/>
        <w:ind w:left="1304" w:right="284"/>
        <w:jc w:val="both"/>
        <w:rPr>
          <w:rFonts w:ascii="Arial" w:eastAsia="Calibri" w:hAnsi="Arial" w:cs="Arial"/>
          <w:sz w:val="22"/>
          <w:szCs w:val="22"/>
          <w:lang w:val="en-US" w:eastAsia="en-US"/>
        </w:rPr>
      </w:pPr>
      <w:r w:rsidRPr="00DB7022">
        <w:rPr>
          <w:rFonts w:ascii="Arial" w:eastAsia="Calibri" w:hAnsi="Arial" w:cs="Arial"/>
          <w:sz w:val="22"/>
          <w:szCs w:val="22"/>
          <w:lang w:val="en-US" w:eastAsia="en-US"/>
        </w:rPr>
        <w:t xml:space="preserve">As stated on page 13 of the Statement of Compliance (later SoC), the </w:t>
      </w:r>
      <w:r w:rsidRPr="00DB7022">
        <w:rPr>
          <w:rFonts w:ascii="Arial" w:eastAsia="Calibri" w:hAnsi="Arial" w:cs="Arial"/>
          <w:sz w:val="22"/>
          <w:szCs w:val="22"/>
          <w:lang w:val="en-GB" w:eastAsia="en-US"/>
        </w:rPr>
        <w:t xml:space="preserve">Legal foundation for the selection of the Director of the Human Rights Centre lays in </w:t>
      </w:r>
      <w:r w:rsidRPr="00DB7022">
        <w:rPr>
          <w:rFonts w:ascii="Arial" w:eastAsia="Calibri" w:hAnsi="Arial" w:cs="Arial"/>
          <w:sz w:val="22"/>
          <w:szCs w:val="22"/>
          <w:lang w:val="en-US" w:eastAsia="en-US"/>
        </w:rPr>
        <w:t xml:space="preserve">section 19 c of the Parliamentary Ombudsman Act: </w:t>
      </w:r>
    </w:p>
    <w:p w14:paraId="4BB6E8D2" w14:textId="77777777" w:rsidR="00DB7022" w:rsidRPr="00DB7022" w:rsidRDefault="00DB7022" w:rsidP="00DB7022">
      <w:pPr>
        <w:spacing w:after="160" w:line="259" w:lineRule="auto"/>
        <w:ind w:left="2160" w:right="284"/>
        <w:jc w:val="both"/>
        <w:rPr>
          <w:rFonts w:ascii="Arial" w:eastAsia="Calibri" w:hAnsi="Arial" w:cs="Arial"/>
          <w:sz w:val="22"/>
          <w:szCs w:val="22"/>
          <w:lang w:val="en-US" w:eastAsia="en-US"/>
        </w:rPr>
      </w:pPr>
      <w:r w:rsidRPr="00DB7022">
        <w:rPr>
          <w:rFonts w:ascii="Arial" w:eastAsia="Calibri" w:hAnsi="Arial" w:cs="Arial"/>
          <w:sz w:val="22"/>
          <w:szCs w:val="22"/>
          <w:lang w:val="en-US" w:eastAsia="en-US"/>
        </w:rPr>
        <w:t xml:space="preserve">“The Human Rights Centre shall have a Director, who must have good familiarity with fundamental and human rights. Having received the Constitutional Law Committee’s opinion on the matter, the Parliamentary Ombudsman shall appoint the Director for a four-year term.” </w:t>
      </w:r>
    </w:p>
    <w:p w14:paraId="430E9149" w14:textId="77777777" w:rsidR="00DB7022" w:rsidRPr="00DB7022" w:rsidRDefault="00DB7022" w:rsidP="00DB7022">
      <w:pPr>
        <w:spacing w:after="160" w:line="259" w:lineRule="auto"/>
        <w:ind w:left="1304" w:right="284"/>
        <w:jc w:val="both"/>
        <w:rPr>
          <w:rFonts w:ascii="Arial" w:eastAsia="Calibri" w:hAnsi="Arial" w:cs="Arial"/>
          <w:sz w:val="22"/>
          <w:szCs w:val="22"/>
          <w:lang w:val="en-US" w:eastAsia="en-US"/>
        </w:rPr>
      </w:pPr>
      <w:r w:rsidRPr="00DB7022">
        <w:rPr>
          <w:rFonts w:ascii="Arial" w:eastAsia="Calibri" w:hAnsi="Arial" w:cs="Arial"/>
          <w:sz w:val="22"/>
          <w:szCs w:val="22"/>
          <w:lang w:val="en-US" w:eastAsia="en-US"/>
        </w:rPr>
        <w:lastRenderedPageBreak/>
        <w:t>On page 14 of the SoC, we have described the selection process of the Director of the Human Rights Centre in practice:</w:t>
      </w:r>
    </w:p>
    <w:p w14:paraId="20E884EC" w14:textId="77777777" w:rsidR="00DB7022" w:rsidRPr="00DB7022" w:rsidRDefault="00DB7022" w:rsidP="00DB7022">
      <w:pPr>
        <w:spacing w:after="160" w:line="259" w:lineRule="auto"/>
        <w:ind w:left="2160" w:right="284"/>
        <w:jc w:val="both"/>
        <w:rPr>
          <w:rFonts w:ascii="Arial" w:eastAsia="Calibri" w:hAnsi="Arial" w:cs="Arial"/>
          <w:sz w:val="22"/>
          <w:szCs w:val="22"/>
          <w:lang w:val="en-US" w:eastAsia="en-US"/>
        </w:rPr>
      </w:pPr>
      <w:r w:rsidRPr="00DB7022">
        <w:rPr>
          <w:rFonts w:ascii="Arial" w:eastAsia="Calibri" w:hAnsi="Arial" w:cs="Arial"/>
          <w:sz w:val="22"/>
          <w:szCs w:val="22"/>
          <w:lang w:val="en-US" w:eastAsia="en-US"/>
        </w:rPr>
        <w:t xml:space="preserve">“In practice the vacant post is advertised in major newspapers, centralized job advertisement websites, on the Parliaments and Governments own intranets, as well as on the Ombudsman’s and the Human Rights Centre’s website. All applicants’ merits are </w:t>
      </w:r>
      <w:proofErr w:type="gramStart"/>
      <w:r w:rsidRPr="00DB7022">
        <w:rPr>
          <w:rFonts w:ascii="Arial" w:eastAsia="Calibri" w:hAnsi="Arial" w:cs="Arial"/>
          <w:sz w:val="22"/>
          <w:szCs w:val="22"/>
          <w:lang w:val="en-US" w:eastAsia="en-US"/>
        </w:rPr>
        <w:t>assessed</w:t>
      </w:r>
      <w:proofErr w:type="gramEnd"/>
      <w:r w:rsidRPr="00DB7022">
        <w:rPr>
          <w:rFonts w:ascii="Arial" w:eastAsia="Calibri" w:hAnsi="Arial" w:cs="Arial"/>
          <w:sz w:val="22"/>
          <w:szCs w:val="22"/>
          <w:lang w:val="en-US" w:eastAsia="en-US"/>
        </w:rPr>
        <w:t xml:space="preserve"> and the leading candidates are shortlisted and interviewed. A public memorandum is written on the leading candidates. This document functions as the basis for the nomination. The Ombudsman requests, in accordance with the law, the Constitutional Law Committee’s opinion on his proposal for the appointment. The Committee has also heard the leading candidates before issuing its opinion (the second time a director was appointed at the end of 2015).” </w:t>
      </w:r>
    </w:p>
    <w:p w14:paraId="13401EB0"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On page 5 of the SoC, we have mentioned the following Act, but did not elaborate on it due to the </w:t>
      </w:r>
      <w:proofErr w:type="gramStart"/>
      <w:r w:rsidRPr="00DB7022">
        <w:rPr>
          <w:rFonts w:ascii="Arial" w:eastAsia="Calibri" w:hAnsi="Arial" w:cs="Arial"/>
          <w:sz w:val="22"/>
          <w:szCs w:val="22"/>
          <w:lang w:val="en-GB" w:eastAsia="en-US"/>
        </w:rPr>
        <w:t>above mentioned</w:t>
      </w:r>
      <w:proofErr w:type="gramEnd"/>
      <w:r w:rsidRPr="00DB7022">
        <w:rPr>
          <w:rFonts w:ascii="Arial" w:eastAsia="Calibri" w:hAnsi="Arial" w:cs="Arial"/>
          <w:sz w:val="22"/>
          <w:szCs w:val="22"/>
          <w:lang w:val="en-GB" w:eastAsia="en-US"/>
        </w:rPr>
        <w:t xml:space="preserve"> reason of not being aware of any concerns re</w:t>
      </w:r>
      <w:r w:rsidR="00082852">
        <w:rPr>
          <w:rFonts w:ascii="Arial" w:eastAsia="Calibri" w:hAnsi="Arial" w:cs="Arial"/>
          <w:sz w:val="22"/>
          <w:szCs w:val="22"/>
          <w:lang w:val="en-GB" w:eastAsia="en-US"/>
        </w:rPr>
        <w:t>garding</w:t>
      </w:r>
      <w:r w:rsidRPr="00DB7022">
        <w:rPr>
          <w:rFonts w:ascii="Arial" w:eastAsia="Calibri" w:hAnsi="Arial" w:cs="Arial"/>
          <w:sz w:val="22"/>
          <w:szCs w:val="22"/>
          <w:lang w:val="en-GB" w:eastAsia="en-US"/>
        </w:rPr>
        <w:t xml:space="preserve"> the appointment: </w:t>
      </w:r>
    </w:p>
    <w:p w14:paraId="1DE60E52" w14:textId="77777777" w:rsidR="00DB7022" w:rsidRPr="00DB7022" w:rsidRDefault="00DB7022" w:rsidP="00DB7022">
      <w:pPr>
        <w:spacing w:after="160" w:line="259" w:lineRule="auto"/>
        <w:ind w:left="2160"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“Act of Parliament’s Civil Servants (1197/2003) is applicable to the Director of the Human Rights Centre.” </w:t>
      </w:r>
    </w:p>
    <w:p w14:paraId="1DC0251A"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The Act of Parliament’s Civil Servants, which is a generic law concerning all the Civil Servants of the Parliament, answers part of the concerns of the SCA. </w:t>
      </w:r>
      <w:r w:rsidRPr="00DB7022">
        <w:rPr>
          <w:rFonts w:ascii="Arial" w:eastAsia="Calibri" w:hAnsi="Arial" w:cs="Arial"/>
          <w:b/>
          <w:sz w:val="22"/>
          <w:szCs w:val="22"/>
          <w:lang w:val="en-GB" w:eastAsia="en-US"/>
        </w:rPr>
        <w:t>Pursuant to section 7 of the Act a</w:t>
      </w:r>
      <w:r w:rsidRPr="00DB7022">
        <w:rPr>
          <w:rFonts w:ascii="Arial" w:eastAsia="Calibri" w:hAnsi="Arial" w:cs="Arial"/>
          <w:sz w:val="22"/>
          <w:szCs w:val="22"/>
          <w:lang w:val="en-GB" w:eastAsia="en-US"/>
        </w:rPr>
        <w:t xml:space="preserve"> </w:t>
      </w:r>
      <w:r w:rsidRPr="00DB7022">
        <w:rPr>
          <w:rFonts w:ascii="Arial" w:eastAsia="Calibri" w:hAnsi="Arial" w:cs="Arial"/>
          <w:b/>
          <w:sz w:val="22"/>
          <w:szCs w:val="22"/>
          <w:lang w:val="en-GB" w:eastAsia="en-US"/>
        </w:rPr>
        <w:t>prerequisite for an appointment to an office is a public method of application with a minimum 14 days of application time. Selection must be made from the applicants who fulfil the publicly announced criteria.</w:t>
      </w:r>
    </w:p>
    <w:p w14:paraId="6F5C0A98" w14:textId="77777777" w:rsidR="00DB7022" w:rsidRPr="00DB7022" w:rsidRDefault="00DB7022" w:rsidP="00DB7022">
      <w:pPr>
        <w:spacing w:after="160" w:line="259" w:lineRule="auto"/>
        <w:ind w:left="1304" w:right="284"/>
        <w:jc w:val="both"/>
        <w:rPr>
          <w:rFonts w:ascii="Arial" w:eastAsia="Calibri" w:hAnsi="Arial" w:cs="Arial"/>
          <w:b/>
          <w:sz w:val="22"/>
          <w:szCs w:val="22"/>
          <w:lang w:val="en-GB" w:eastAsia="en-US"/>
        </w:rPr>
      </w:pPr>
      <w:r w:rsidRPr="00DB7022">
        <w:rPr>
          <w:rFonts w:ascii="Arial" w:eastAsia="Calibri" w:hAnsi="Arial" w:cs="Arial"/>
          <w:sz w:val="22"/>
          <w:szCs w:val="22"/>
          <w:lang w:val="en-GB" w:eastAsia="en-US"/>
        </w:rPr>
        <w:t xml:space="preserve">Additionally, the FINHRI follows the applicable rules set in the Act of Civil Servants (1994/750). </w:t>
      </w:r>
      <w:r w:rsidRPr="00DB7022">
        <w:rPr>
          <w:rFonts w:ascii="Arial" w:eastAsia="Calibri" w:hAnsi="Arial" w:cs="Arial"/>
          <w:b/>
          <w:sz w:val="22"/>
          <w:szCs w:val="22"/>
          <w:lang w:val="en-GB" w:eastAsia="en-US"/>
        </w:rPr>
        <w:t xml:space="preserve">Pursuant to section 6a of the Act, the announcement of a vacant office must be made publicly nationwide. </w:t>
      </w:r>
    </w:p>
    <w:p w14:paraId="390F533E"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Furthermore, the FINRHI follows the applicable items of </w:t>
      </w:r>
      <w:r w:rsidRPr="00DB7022">
        <w:rPr>
          <w:rFonts w:ascii="Arial" w:eastAsia="Calibri" w:hAnsi="Arial" w:cs="Arial"/>
          <w:b/>
          <w:sz w:val="22"/>
          <w:szCs w:val="22"/>
          <w:lang w:val="en-GB" w:eastAsia="en-US"/>
        </w:rPr>
        <w:t>Recommendations</w:t>
      </w:r>
      <w:r w:rsidRPr="00DB7022">
        <w:rPr>
          <w:rFonts w:ascii="Arial" w:eastAsia="Calibri" w:hAnsi="Arial" w:cs="Arial"/>
          <w:sz w:val="22"/>
          <w:szCs w:val="22"/>
          <w:lang w:val="en-GB" w:eastAsia="en-US"/>
        </w:rPr>
        <w:t xml:space="preserve"> (27 pages)</w:t>
      </w:r>
      <w:r w:rsidRPr="00DB7022">
        <w:rPr>
          <w:rFonts w:ascii="Arial" w:eastAsia="Calibri" w:hAnsi="Arial" w:cs="Arial"/>
          <w:sz w:val="22"/>
          <w:szCs w:val="22"/>
          <w:vertAlign w:val="superscript"/>
          <w:lang w:val="en-GB" w:eastAsia="en-US"/>
        </w:rPr>
        <w:footnoteReference w:id="1"/>
      </w:r>
      <w:r w:rsidRPr="00DB7022">
        <w:rPr>
          <w:rFonts w:ascii="Arial" w:eastAsia="Calibri" w:hAnsi="Arial" w:cs="Arial"/>
          <w:sz w:val="22"/>
          <w:szCs w:val="22"/>
          <w:lang w:val="en-GB" w:eastAsia="en-US"/>
        </w:rPr>
        <w:t xml:space="preserve"> </w:t>
      </w:r>
      <w:r w:rsidRPr="00DB7022">
        <w:rPr>
          <w:rFonts w:ascii="Arial" w:eastAsia="Calibri" w:hAnsi="Arial" w:cs="Arial"/>
          <w:b/>
          <w:sz w:val="22"/>
          <w:szCs w:val="22"/>
          <w:lang w:val="en-GB" w:eastAsia="en-US"/>
        </w:rPr>
        <w:t>and</w:t>
      </w:r>
      <w:r w:rsidRPr="00DB7022">
        <w:rPr>
          <w:rFonts w:ascii="Arial" w:eastAsia="Calibri" w:hAnsi="Arial" w:cs="Arial"/>
          <w:sz w:val="22"/>
          <w:szCs w:val="22"/>
          <w:lang w:val="en-GB" w:eastAsia="en-US"/>
        </w:rPr>
        <w:t xml:space="preserve"> </w:t>
      </w:r>
      <w:r w:rsidRPr="00DB7022">
        <w:rPr>
          <w:rFonts w:ascii="Arial" w:eastAsia="Calibri" w:hAnsi="Arial" w:cs="Arial"/>
          <w:b/>
          <w:sz w:val="22"/>
          <w:szCs w:val="22"/>
          <w:lang w:val="en-GB" w:eastAsia="en-US"/>
        </w:rPr>
        <w:t>Guidelines</w:t>
      </w:r>
      <w:r w:rsidRPr="00DB7022">
        <w:rPr>
          <w:rFonts w:ascii="Arial" w:eastAsia="Calibri" w:hAnsi="Arial" w:cs="Arial"/>
          <w:sz w:val="22"/>
          <w:szCs w:val="22"/>
          <w:lang w:val="en-GB" w:eastAsia="en-US"/>
        </w:rPr>
        <w:t xml:space="preserve"> (110 pages)</w:t>
      </w:r>
      <w:r w:rsidRPr="00DB7022">
        <w:rPr>
          <w:rFonts w:ascii="Arial" w:eastAsia="Calibri" w:hAnsi="Arial" w:cs="Arial"/>
          <w:sz w:val="22"/>
          <w:szCs w:val="22"/>
          <w:vertAlign w:val="superscript"/>
          <w:lang w:val="en-GB" w:eastAsia="en-US"/>
        </w:rPr>
        <w:footnoteReference w:id="2"/>
      </w:r>
      <w:r w:rsidRPr="00DB7022">
        <w:rPr>
          <w:rFonts w:ascii="Arial" w:eastAsia="Calibri" w:hAnsi="Arial" w:cs="Arial"/>
          <w:sz w:val="22"/>
          <w:szCs w:val="22"/>
          <w:lang w:val="en-GB" w:eastAsia="en-US"/>
        </w:rPr>
        <w:t xml:space="preserve"> </w:t>
      </w:r>
      <w:r w:rsidRPr="00DB7022">
        <w:rPr>
          <w:rFonts w:ascii="Arial" w:eastAsia="Calibri" w:hAnsi="Arial" w:cs="Arial"/>
          <w:b/>
          <w:sz w:val="22"/>
          <w:szCs w:val="22"/>
          <w:lang w:val="en-GB" w:eastAsia="en-US"/>
        </w:rPr>
        <w:t>concerning the appointment process for all public offices</w:t>
      </w:r>
      <w:r w:rsidRPr="00DB7022">
        <w:rPr>
          <w:rFonts w:ascii="Arial" w:eastAsia="Calibri" w:hAnsi="Arial" w:cs="Arial"/>
          <w:sz w:val="22"/>
          <w:szCs w:val="22"/>
          <w:lang w:val="en-GB" w:eastAsia="en-US"/>
        </w:rPr>
        <w:t xml:space="preserve"> issued by the Department for the Development of State Administration under the Ministry of Finance. The Recommendations and Guidelines describe in detail different safeguards to secure that the application and selection processes of public offices are fair, merit based, non-discriminatory and transparent.</w:t>
      </w:r>
    </w:p>
    <w:p w14:paraId="1BF94C44"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We would also like to inform the SCA, that the </w:t>
      </w:r>
      <w:r w:rsidRPr="00DB7022">
        <w:rPr>
          <w:rFonts w:ascii="Arial" w:eastAsia="Calibri" w:hAnsi="Arial" w:cs="Arial"/>
          <w:b/>
          <w:sz w:val="22"/>
          <w:szCs w:val="22"/>
          <w:lang w:val="en-GB" w:eastAsia="en-US"/>
        </w:rPr>
        <w:t>Act on the Openness of Government (621/1999) safeguards the transparency</w:t>
      </w:r>
      <w:r w:rsidRPr="00DB7022">
        <w:rPr>
          <w:rFonts w:ascii="Arial" w:eastAsia="Calibri" w:hAnsi="Arial" w:cs="Arial"/>
          <w:sz w:val="22"/>
          <w:szCs w:val="22"/>
          <w:lang w:val="en-GB" w:eastAsia="en-US"/>
        </w:rPr>
        <w:t xml:space="preserve"> of the selection and appointment process, as all the documents of the FINHRI are in principle public. </w:t>
      </w:r>
      <w:r w:rsidRPr="00DB7022">
        <w:rPr>
          <w:rFonts w:ascii="Arial" w:eastAsia="Calibri" w:hAnsi="Arial" w:cs="Arial"/>
          <w:b/>
          <w:sz w:val="22"/>
          <w:szCs w:val="22"/>
          <w:lang w:val="en-GB" w:eastAsia="en-US"/>
        </w:rPr>
        <w:t>The Administrative Procedure Act (424/2003) guarantees that the principles of good administration</w:t>
      </w:r>
      <w:r w:rsidRPr="00DB7022">
        <w:rPr>
          <w:rFonts w:ascii="Arial" w:eastAsia="Calibri" w:hAnsi="Arial" w:cs="Arial"/>
          <w:sz w:val="22"/>
          <w:szCs w:val="22"/>
          <w:lang w:val="en-GB" w:eastAsia="en-US"/>
        </w:rPr>
        <w:t xml:space="preserve"> are strictly followed in all decisions taken by the FINHRI.</w:t>
      </w:r>
    </w:p>
    <w:p w14:paraId="45EF7EE8" w14:textId="77777777" w:rsidR="00DB7022" w:rsidRPr="00DB7022" w:rsidRDefault="00DB7022" w:rsidP="00DB7022">
      <w:pPr>
        <w:spacing w:after="160" w:line="259" w:lineRule="auto"/>
        <w:ind w:left="1304" w:right="284"/>
        <w:jc w:val="both"/>
        <w:rPr>
          <w:rFonts w:ascii="Arial" w:eastAsia="Calibri" w:hAnsi="Arial" w:cs="Arial"/>
          <w:sz w:val="22"/>
          <w:szCs w:val="22"/>
          <w:lang w:val="en-US" w:eastAsia="en-US"/>
        </w:rPr>
      </w:pPr>
      <w:r w:rsidRPr="00DB7022">
        <w:rPr>
          <w:rFonts w:ascii="Arial" w:eastAsia="Calibri" w:hAnsi="Arial" w:cs="Arial"/>
          <w:sz w:val="22"/>
          <w:szCs w:val="22"/>
          <w:lang w:val="en-GB" w:eastAsia="en-US"/>
        </w:rPr>
        <w:lastRenderedPageBreak/>
        <w:t xml:space="preserve">As for the other requirement concerning </w:t>
      </w:r>
      <w:r w:rsidRPr="00DB7022">
        <w:rPr>
          <w:rFonts w:ascii="Arial" w:eastAsia="Calibri" w:hAnsi="Arial" w:cs="Arial"/>
          <w:b/>
          <w:sz w:val="22"/>
          <w:szCs w:val="22"/>
          <w:lang w:val="en-GB" w:eastAsia="en-US"/>
        </w:rPr>
        <w:t>the broad consultation and participation in the process</w:t>
      </w:r>
      <w:r w:rsidRPr="00DB7022">
        <w:rPr>
          <w:rFonts w:ascii="Arial" w:eastAsia="Calibri" w:hAnsi="Arial" w:cs="Arial"/>
          <w:sz w:val="22"/>
          <w:szCs w:val="22"/>
          <w:lang w:val="en-GB" w:eastAsia="en-US"/>
        </w:rPr>
        <w:t>, the Constitutional Law Committee, as provided for in section 19 c of the Parliamentary Ombudsman Act assures the second concern of the SCA through the hearing and issuance of its Opinion of the top candidates</w:t>
      </w:r>
      <w:r w:rsidRPr="00DB7022">
        <w:rPr>
          <w:rFonts w:ascii="Arial" w:eastAsia="Calibri" w:hAnsi="Arial" w:cs="Arial"/>
          <w:sz w:val="22"/>
          <w:szCs w:val="22"/>
          <w:lang w:val="en-US" w:eastAsia="en-US"/>
        </w:rPr>
        <w:t xml:space="preserve">. </w:t>
      </w:r>
    </w:p>
    <w:p w14:paraId="0FE45896" w14:textId="77777777" w:rsidR="00DB7022" w:rsidRPr="00DB7022" w:rsidRDefault="00DB7022" w:rsidP="00DB7022">
      <w:pPr>
        <w:spacing w:after="160" w:line="259" w:lineRule="auto"/>
        <w:ind w:left="1304" w:right="284"/>
        <w:jc w:val="both"/>
        <w:rPr>
          <w:rFonts w:ascii="Arial" w:eastAsia="Calibri" w:hAnsi="Arial" w:cs="Arial"/>
          <w:sz w:val="22"/>
          <w:szCs w:val="22"/>
          <w:lang w:val="en-US" w:eastAsia="en-US"/>
        </w:rPr>
      </w:pPr>
      <w:r w:rsidRPr="00DB7022">
        <w:rPr>
          <w:rFonts w:ascii="Arial" w:eastAsia="Calibri" w:hAnsi="Arial" w:cs="Arial"/>
          <w:sz w:val="22"/>
          <w:szCs w:val="22"/>
          <w:lang w:val="en-US" w:eastAsia="en-US"/>
        </w:rPr>
        <w:t xml:space="preserve">We would like to draw the SCA’s attention to the Finnish political system, which is based on multiple parties representing various societal groups in the Parliament. The composition of the Constitutional Law Committee reflects the Finnish Society in whole. </w:t>
      </w:r>
    </w:p>
    <w:p w14:paraId="46271EDA"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Finally, we would like to point out that the </w:t>
      </w:r>
      <w:r w:rsidRPr="00DB7022">
        <w:rPr>
          <w:rFonts w:ascii="Arial" w:eastAsia="Calibri" w:hAnsi="Arial" w:cs="Arial"/>
          <w:b/>
          <w:sz w:val="22"/>
          <w:szCs w:val="22"/>
          <w:lang w:val="en-GB" w:eastAsia="en-US"/>
        </w:rPr>
        <w:t xml:space="preserve">general qualifications for public office and other grounds for </w:t>
      </w:r>
      <w:r w:rsidR="00543E2F" w:rsidRPr="00DB7022">
        <w:rPr>
          <w:rFonts w:ascii="Arial" w:eastAsia="Calibri" w:hAnsi="Arial" w:cs="Arial"/>
          <w:b/>
          <w:sz w:val="22"/>
          <w:szCs w:val="22"/>
          <w:lang w:val="en-GB" w:eastAsia="en-US"/>
        </w:rPr>
        <w:t>appointment</w:t>
      </w:r>
      <w:r w:rsidRPr="00DB7022">
        <w:rPr>
          <w:rFonts w:ascii="Arial" w:eastAsia="Calibri" w:hAnsi="Arial" w:cs="Arial"/>
          <w:b/>
          <w:sz w:val="22"/>
          <w:szCs w:val="22"/>
          <w:lang w:val="en-GB" w:eastAsia="en-US"/>
        </w:rPr>
        <w:t xml:space="preserve"> are set by the Constitution of Finland</w:t>
      </w:r>
      <w:r w:rsidRPr="00DB7022">
        <w:rPr>
          <w:rFonts w:ascii="Arial" w:eastAsia="Calibri" w:hAnsi="Arial" w:cs="Arial"/>
          <w:sz w:val="22"/>
          <w:szCs w:val="22"/>
          <w:lang w:val="en-GB" w:eastAsia="en-US"/>
        </w:rPr>
        <w:t>. Pursuant to section 125, paragraph 2, “The general qualifications for public office shall be skill, ability and proven civic merit”.</w:t>
      </w:r>
    </w:p>
    <w:p w14:paraId="65D7590D"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US" w:eastAsia="en-US"/>
        </w:rPr>
        <w:t xml:space="preserve">The Finnish NHRI is of the opinion that the process described above </w:t>
      </w:r>
      <w:r w:rsidRPr="00DB7022">
        <w:rPr>
          <w:rFonts w:ascii="Arial" w:eastAsia="Calibri" w:hAnsi="Arial" w:cs="Arial"/>
          <w:sz w:val="22"/>
          <w:szCs w:val="22"/>
          <w:lang w:val="en-GB" w:eastAsia="en-US"/>
        </w:rPr>
        <w:t xml:space="preserve">ensures a clear, </w:t>
      </w:r>
      <w:proofErr w:type="gramStart"/>
      <w:r w:rsidRPr="00DB7022">
        <w:rPr>
          <w:rFonts w:ascii="Arial" w:eastAsia="Calibri" w:hAnsi="Arial" w:cs="Arial"/>
          <w:sz w:val="22"/>
          <w:szCs w:val="22"/>
          <w:lang w:val="en-GB" w:eastAsia="en-US"/>
        </w:rPr>
        <w:t>transparent</w:t>
      </w:r>
      <w:proofErr w:type="gramEnd"/>
      <w:r w:rsidRPr="00DB7022">
        <w:rPr>
          <w:rFonts w:ascii="Arial" w:eastAsia="Calibri" w:hAnsi="Arial" w:cs="Arial"/>
          <w:sz w:val="22"/>
          <w:szCs w:val="22"/>
          <w:lang w:val="en-GB" w:eastAsia="en-US"/>
        </w:rPr>
        <w:t xml:space="preserve"> and participatory selection and appointment process for the Director of Human Rights Centre.</w:t>
      </w:r>
    </w:p>
    <w:p w14:paraId="118028FC" w14:textId="77777777" w:rsidR="00DB7022" w:rsidRPr="00DB7022" w:rsidRDefault="00DB7022" w:rsidP="00DB7022">
      <w:pPr>
        <w:spacing w:after="160" w:line="259" w:lineRule="auto"/>
        <w:ind w:left="1304" w:right="284"/>
        <w:jc w:val="both"/>
        <w:rPr>
          <w:rFonts w:ascii="Arial" w:eastAsia="Calibri" w:hAnsi="Arial" w:cs="Arial"/>
          <w:sz w:val="22"/>
          <w:szCs w:val="22"/>
          <w:lang w:val="en-US" w:eastAsia="en-US"/>
        </w:rPr>
      </w:pPr>
      <w:r w:rsidRPr="00DB7022">
        <w:rPr>
          <w:rFonts w:ascii="Arial" w:eastAsia="Calibri" w:hAnsi="Arial" w:cs="Arial"/>
          <w:sz w:val="22"/>
          <w:szCs w:val="22"/>
          <w:lang w:val="en-GB" w:eastAsia="en-US"/>
        </w:rPr>
        <w:t>As the above listed laws, recommendations and guidelines are applicable to the Selection and Appointment of the Director of the Human Rights Centre already now, we would respectfully suggest redrafting of the report on the requirements a) – e), which are already now legally fully satisfied. In our view, it would avoid potential confusion and make the other recommendations stronger as we advocate for their implementa</w:t>
      </w:r>
      <w:r w:rsidR="00543E2F">
        <w:rPr>
          <w:rFonts w:ascii="Arial" w:eastAsia="Calibri" w:hAnsi="Arial" w:cs="Arial"/>
          <w:sz w:val="22"/>
          <w:szCs w:val="22"/>
          <w:lang w:val="en-GB" w:eastAsia="en-US"/>
        </w:rPr>
        <w:t>tion</w:t>
      </w:r>
      <w:r w:rsidRPr="00DB7022">
        <w:rPr>
          <w:rFonts w:ascii="Arial" w:eastAsia="Calibri" w:hAnsi="Arial" w:cs="Arial"/>
          <w:sz w:val="22"/>
          <w:szCs w:val="22"/>
          <w:lang w:val="en-GB" w:eastAsia="en-US"/>
        </w:rPr>
        <w:t xml:space="preserve">.   </w:t>
      </w:r>
    </w:p>
    <w:p w14:paraId="7CB0F62D" w14:textId="77777777" w:rsidR="009D5506" w:rsidRPr="009D5506" w:rsidRDefault="009D5506" w:rsidP="009D5506">
      <w:pPr>
        <w:spacing w:after="160" w:line="259" w:lineRule="auto"/>
        <w:ind w:left="1304" w:firstLine="1"/>
        <w:jc w:val="both"/>
        <w:rPr>
          <w:rFonts w:ascii="Arial" w:eastAsia="Calibri" w:hAnsi="Arial" w:cs="Arial"/>
          <w:sz w:val="22"/>
          <w:szCs w:val="22"/>
          <w:lang w:val="en-GB" w:eastAsia="en-US"/>
        </w:rPr>
      </w:pPr>
    </w:p>
    <w:p w14:paraId="2BE12A1D" w14:textId="77777777" w:rsidR="009D5506" w:rsidRPr="009D5506" w:rsidRDefault="009D5506" w:rsidP="009D5506">
      <w:pPr>
        <w:spacing w:after="160" w:line="259" w:lineRule="auto"/>
        <w:ind w:left="1304" w:firstLine="1"/>
        <w:jc w:val="both"/>
        <w:rPr>
          <w:rFonts w:ascii="Arial" w:eastAsia="Calibri" w:hAnsi="Arial" w:cs="Arial"/>
          <w:sz w:val="22"/>
          <w:szCs w:val="22"/>
          <w:lang w:val="en-GB" w:eastAsia="en-US"/>
        </w:rPr>
      </w:pPr>
    </w:p>
    <w:p w14:paraId="7819677C" w14:textId="77777777" w:rsidR="009D5506" w:rsidRPr="009D5506" w:rsidRDefault="009D5506" w:rsidP="009D5506">
      <w:pPr>
        <w:spacing w:after="160" w:line="259" w:lineRule="auto"/>
        <w:ind w:left="1304" w:firstLine="1"/>
        <w:jc w:val="both"/>
        <w:rPr>
          <w:rFonts w:ascii="Arial" w:eastAsia="Calibri" w:hAnsi="Arial" w:cs="Arial"/>
          <w:sz w:val="22"/>
          <w:szCs w:val="22"/>
          <w:lang w:val="fi-FI" w:eastAsia="en-US"/>
        </w:rPr>
      </w:pPr>
      <w:r w:rsidRPr="009D5506">
        <w:rPr>
          <w:rFonts w:ascii="Arial" w:eastAsia="Calibri" w:hAnsi="Arial" w:cs="Arial"/>
          <w:sz w:val="22"/>
          <w:szCs w:val="22"/>
          <w:lang w:val="fi-FI" w:eastAsia="en-US"/>
        </w:rPr>
        <w:t>Sincerely yours,</w:t>
      </w:r>
    </w:p>
    <w:p w14:paraId="01A3EECC" w14:textId="77777777" w:rsidR="009D5506" w:rsidRPr="009D5506" w:rsidRDefault="009D5506" w:rsidP="009D5506">
      <w:pPr>
        <w:spacing w:after="160" w:line="259" w:lineRule="auto"/>
        <w:ind w:left="1304" w:firstLine="1"/>
        <w:jc w:val="both"/>
        <w:rPr>
          <w:rFonts w:ascii="Arial" w:eastAsia="Calibri" w:hAnsi="Arial" w:cs="Arial"/>
          <w:sz w:val="22"/>
          <w:szCs w:val="22"/>
          <w:lang w:val="fi-FI" w:eastAsia="en-US"/>
        </w:rPr>
      </w:pPr>
    </w:p>
    <w:p w14:paraId="090CA735" w14:textId="77777777" w:rsidR="009D5506" w:rsidRPr="009D5506" w:rsidRDefault="009D5506" w:rsidP="009D5506">
      <w:pPr>
        <w:spacing w:after="160" w:line="259" w:lineRule="auto"/>
        <w:ind w:left="1304" w:firstLine="1"/>
        <w:jc w:val="both"/>
        <w:rPr>
          <w:rFonts w:ascii="Arial" w:eastAsia="Calibri" w:hAnsi="Arial" w:cs="Arial"/>
          <w:sz w:val="22"/>
          <w:szCs w:val="22"/>
          <w:lang w:val="fi-FI" w:eastAsia="en-US"/>
        </w:rPr>
      </w:pPr>
    </w:p>
    <w:p w14:paraId="45775E58" w14:textId="77777777" w:rsidR="009D5506" w:rsidRPr="009D5506" w:rsidRDefault="009D5506" w:rsidP="009D5506">
      <w:pPr>
        <w:spacing w:after="160" w:line="259" w:lineRule="auto"/>
        <w:ind w:left="1304" w:firstLine="1"/>
        <w:jc w:val="both"/>
        <w:rPr>
          <w:rFonts w:ascii="Arial" w:eastAsia="Calibri" w:hAnsi="Arial" w:cs="Arial"/>
          <w:sz w:val="22"/>
          <w:szCs w:val="22"/>
          <w:lang w:val="fi-FI" w:eastAsia="en-US"/>
        </w:rPr>
      </w:pPr>
      <w:r w:rsidRPr="009D5506">
        <w:rPr>
          <w:rFonts w:ascii="Arial" w:eastAsia="Calibri" w:hAnsi="Arial" w:cs="Arial"/>
          <w:sz w:val="22"/>
          <w:szCs w:val="22"/>
          <w:lang w:val="fi-FI" w:eastAsia="en-US"/>
        </w:rPr>
        <w:t>Petri Jääskeläinen</w:t>
      </w:r>
      <w:r w:rsidRPr="009D5506">
        <w:rPr>
          <w:rFonts w:ascii="Arial" w:eastAsia="Calibri" w:hAnsi="Arial" w:cs="Arial"/>
          <w:sz w:val="22"/>
          <w:szCs w:val="22"/>
          <w:lang w:val="fi-FI" w:eastAsia="en-US"/>
        </w:rPr>
        <w:tab/>
      </w:r>
      <w:r w:rsidRPr="009D5506">
        <w:rPr>
          <w:rFonts w:ascii="Arial" w:eastAsia="Calibri" w:hAnsi="Arial" w:cs="Arial"/>
          <w:sz w:val="22"/>
          <w:szCs w:val="22"/>
          <w:lang w:val="fi-FI" w:eastAsia="en-US"/>
        </w:rPr>
        <w:tab/>
      </w:r>
      <w:r w:rsidRPr="009D5506">
        <w:rPr>
          <w:rFonts w:ascii="Arial" w:eastAsia="Calibri" w:hAnsi="Arial" w:cs="Arial"/>
          <w:sz w:val="22"/>
          <w:szCs w:val="22"/>
          <w:lang w:val="fi-FI" w:eastAsia="en-US"/>
        </w:rPr>
        <w:tab/>
        <w:t>Sirpa Rautio</w:t>
      </w:r>
    </w:p>
    <w:p w14:paraId="0F6B1CE4" w14:textId="77777777" w:rsidR="009D5506" w:rsidRPr="009D5506" w:rsidRDefault="009D5506" w:rsidP="009D5506">
      <w:pPr>
        <w:spacing w:after="160" w:line="259" w:lineRule="auto"/>
        <w:ind w:left="1304" w:firstLine="1"/>
        <w:jc w:val="both"/>
        <w:rPr>
          <w:rFonts w:ascii="Arial" w:eastAsia="Calibri" w:hAnsi="Arial" w:cs="Arial"/>
          <w:sz w:val="22"/>
          <w:szCs w:val="22"/>
          <w:lang w:val="en-US" w:eastAsia="en-US"/>
        </w:rPr>
      </w:pPr>
      <w:r w:rsidRPr="009D5506">
        <w:rPr>
          <w:rFonts w:ascii="Arial" w:eastAsia="Calibri" w:hAnsi="Arial" w:cs="Arial"/>
          <w:sz w:val="22"/>
          <w:szCs w:val="22"/>
          <w:lang w:val="en-US" w:eastAsia="en-US"/>
        </w:rPr>
        <w:t>Parliamentary Ombudsman</w:t>
      </w:r>
      <w:r w:rsidRPr="009D5506">
        <w:rPr>
          <w:rFonts w:ascii="Arial" w:eastAsia="Calibri" w:hAnsi="Arial" w:cs="Arial"/>
          <w:sz w:val="22"/>
          <w:szCs w:val="22"/>
          <w:lang w:val="en-US" w:eastAsia="en-US"/>
        </w:rPr>
        <w:tab/>
      </w:r>
      <w:r w:rsidRPr="009D5506">
        <w:rPr>
          <w:rFonts w:ascii="Arial" w:eastAsia="Calibri" w:hAnsi="Arial" w:cs="Arial"/>
          <w:sz w:val="22"/>
          <w:szCs w:val="22"/>
          <w:lang w:val="en-US" w:eastAsia="en-US"/>
        </w:rPr>
        <w:tab/>
        <w:t>Human Rights Centre Director</w:t>
      </w:r>
    </w:p>
    <w:p w14:paraId="1B401A91" w14:textId="77777777" w:rsidR="00C74E33" w:rsidRPr="009D5506" w:rsidRDefault="00C74E33" w:rsidP="00FE783F">
      <w:pPr>
        <w:rPr>
          <w:lang w:val="en-US"/>
        </w:rPr>
      </w:pPr>
    </w:p>
    <w:sectPr w:rsidR="00C74E33" w:rsidRPr="009D5506" w:rsidSect="00FE783F">
      <w:headerReference w:type="even" r:id="rId7"/>
      <w:headerReference w:type="default" r:id="rId8"/>
      <w:footerReference w:type="even" r:id="rId9"/>
      <w:footerReference w:type="default" r:id="rId10"/>
      <w:headerReference w:type="first" r:id="rId11"/>
      <w:footerReference w:type="first" r:id="rId12"/>
      <w:pgSz w:w="11900" w:h="16840"/>
      <w:pgMar w:top="1985" w:right="851" w:bottom="1985"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7DEA" w14:textId="77777777" w:rsidR="008E044B" w:rsidRDefault="008E044B" w:rsidP="00FE783F">
      <w:pPr>
        <w:spacing w:line="240" w:lineRule="auto"/>
      </w:pPr>
      <w:r>
        <w:separator/>
      </w:r>
    </w:p>
  </w:endnote>
  <w:endnote w:type="continuationSeparator" w:id="0">
    <w:p w14:paraId="1EA8C31F" w14:textId="77777777" w:rsidR="008E044B" w:rsidRDefault="008E044B" w:rsidP="00FE7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9B41" w14:textId="77777777" w:rsidR="00CB26C0" w:rsidRDefault="00CB26C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AEC1" w14:textId="36D3B663" w:rsidR="00FE783F" w:rsidRDefault="00C20F4C" w:rsidP="00FE783F">
    <w:pPr>
      <w:pStyle w:val="Alatunniste"/>
      <w:ind w:firstLine="720"/>
    </w:pPr>
    <w:r>
      <w:rPr>
        <w:noProof/>
        <w:lang w:eastAsia="en-US"/>
      </w:rPr>
      <w:drawing>
        <wp:anchor distT="0" distB="0" distL="114300" distR="114300" simplePos="0" relativeHeight="251658240" behindDoc="1" locked="0" layoutInCell="1" allowOverlap="1" wp14:anchorId="3BD56FD8" wp14:editId="72D02977">
          <wp:simplePos x="0" y="0"/>
          <wp:positionH relativeFrom="column">
            <wp:posOffset>-542290</wp:posOffset>
          </wp:positionH>
          <wp:positionV relativeFrom="paragraph">
            <wp:posOffset>-657225</wp:posOffset>
          </wp:positionV>
          <wp:extent cx="7560310" cy="1252855"/>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4E10" w14:textId="77777777" w:rsidR="00CB26C0" w:rsidRDefault="00CB26C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E7F3" w14:textId="77777777" w:rsidR="008E044B" w:rsidRDefault="008E044B" w:rsidP="00FE783F">
      <w:pPr>
        <w:spacing w:line="240" w:lineRule="auto"/>
      </w:pPr>
      <w:r>
        <w:separator/>
      </w:r>
    </w:p>
  </w:footnote>
  <w:footnote w:type="continuationSeparator" w:id="0">
    <w:p w14:paraId="58745B1F" w14:textId="77777777" w:rsidR="008E044B" w:rsidRDefault="008E044B" w:rsidP="00FE783F">
      <w:pPr>
        <w:spacing w:line="240" w:lineRule="auto"/>
      </w:pPr>
      <w:r>
        <w:continuationSeparator/>
      </w:r>
    </w:p>
  </w:footnote>
  <w:footnote w:id="1">
    <w:p w14:paraId="0630961A" w14:textId="77777777" w:rsidR="00DB7022" w:rsidRPr="001E771D" w:rsidRDefault="00DB7022" w:rsidP="00DB7022">
      <w:pPr>
        <w:pStyle w:val="Alaviitteenteksti"/>
        <w:rPr>
          <w:lang w:val="en-GB"/>
        </w:rPr>
      </w:pPr>
      <w:r>
        <w:rPr>
          <w:rStyle w:val="Alaviitteenviite"/>
        </w:rPr>
        <w:footnoteRef/>
      </w:r>
      <w:r w:rsidRPr="001E771D">
        <w:rPr>
          <w:lang w:val="en-GB"/>
        </w:rPr>
        <w:t xml:space="preserve"> VM/2643/00.00.00/2018  </w:t>
      </w:r>
      <w:r>
        <w:rPr>
          <w:lang w:val="en-GB"/>
        </w:rPr>
        <w:t xml:space="preserve">available online in Finnish at </w:t>
      </w:r>
      <w:hyperlink r:id="rId1" w:history="1">
        <w:r w:rsidRPr="001E771D">
          <w:rPr>
            <w:rStyle w:val="Hyperlinkki"/>
            <w:lang w:val="en-GB"/>
          </w:rPr>
          <w:t>https://intranet.eduskunta.fi/palvelut/henkilosto/rekrytointi/Documents/Ohje_virant%C3%A4yt%C3%B6ss%C3%A4_noudatettavista_periaatteista_30.4.2019.pdf</w:t>
        </w:r>
      </w:hyperlink>
    </w:p>
  </w:footnote>
  <w:footnote w:id="2">
    <w:p w14:paraId="10FB14C0" w14:textId="77777777" w:rsidR="00DB7022" w:rsidRPr="001E771D" w:rsidRDefault="00DB7022" w:rsidP="00DB7022">
      <w:pPr>
        <w:pStyle w:val="Alaviitteenteksti"/>
        <w:rPr>
          <w:lang w:val="en-GB"/>
        </w:rPr>
      </w:pPr>
      <w:r>
        <w:rPr>
          <w:rStyle w:val="Alaviitteenviite"/>
        </w:rPr>
        <w:footnoteRef/>
      </w:r>
      <w:r w:rsidRPr="001E771D">
        <w:rPr>
          <w:lang w:val="en-GB"/>
        </w:rPr>
        <w:t xml:space="preserve"> </w:t>
      </w:r>
      <w:r>
        <w:rPr>
          <w:lang w:val="en-GB"/>
        </w:rPr>
        <w:t xml:space="preserve">Available in Finnish at </w:t>
      </w:r>
      <w:hyperlink r:id="rId2" w:history="1">
        <w:r w:rsidRPr="001E771D">
          <w:rPr>
            <w:rStyle w:val="Hyperlinkki"/>
            <w:lang w:val="en-GB"/>
          </w:rPr>
          <w:t>https://vm.fi/documents/10623/1115054/Valitse_oikein_Opaskirja_low.pdf/5b65b4e2-b95d-4497-ad22-53acc9d478cb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B29B" w14:textId="77777777" w:rsidR="00CB26C0" w:rsidRDefault="00CB26C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FC5C" w14:textId="43C9CC56" w:rsidR="00FE783F" w:rsidRDefault="00C20F4C">
    <w:pPr>
      <w:pStyle w:val="Yltunniste"/>
    </w:pPr>
    <w:r>
      <w:rPr>
        <w:noProof/>
        <w:lang w:eastAsia="en-US"/>
      </w:rPr>
      <w:drawing>
        <wp:anchor distT="0" distB="0" distL="114300" distR="114300" simplePos="0" relativeHeight="251657216" behindDoc="0" locked="0" layoutInCell="1" allowOverlap="1" wp14:anchorId="73CA8822" wp14:editId="35F18B3F">
          <wp:simplePos x="0" y="0"/>
          <wp:positionH relativeFrom="column">
            <wp:posOffset>-542290</wp:posOffset>
          </wp:positionH>
          <wp:positionV relativeFrom="paragraph">
            <wp:posOffset>-449580</wp:posOffset>
          </wp:positionV>
          <wp:extent cx="7560310" cy="1252855"/>
          <wp:effectExtent l="0" t="0" r="0" b="0"/>
          <wp:wrapNone/>
          <wp:docPr id="3" name="Kuva 3" descr="Eduskunnan oikeusasiamiehen ja Ihmisoikeuskeskuksen logot. Riksdagens justitieombudsmannens och Människorättscentrets l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Eduskunnan oikeusasiamiehen ja Ihmisoikeuskeskuksen logot. Riksdagens justitieombudsmannens och Människorättscentrets log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34D3" w14:textId="77777777" w:rsidR="00CB26C0" w:rsidRDefault="00CB26C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6DE1"/>
    <w:multiLevelType w:val="hybridMultilevel"/>
    <w:tmpl w:val="95D0CD3E"/>
    <w:lvl w:ilvl="0" w:tplc="F092D22C">
      <w:numFmt w:val="bullet"/>
      <w:lvlText w:val="-"/>
      <w:lvlJc w:val="left"/>
      <w:pPr>
        <w:ind w:left="1857" w:hanging="360"/>
      </w:pPr>
      <w:rPr>
        <w:rFonts w:ascii="Arial" w:eastAsia="Times New Roman" w:hAnsi="Arial" w:cs="Arial" w:hint="default"/>
      </w:rPr>
    </w:lvl>
    <w:lvl w:ilvl="1" w:tplc="040B0003">
      <w:start w:val="1"/>
      <w:numFmt w:val="bullet"/>
      <w:lvlText w:val="o"/>
      <w:lvlJc w:val="left"/>
      <w:pPr>
        <w:ind w:left="2577" w:hanging="360"/>
      </w:pPr>
      <w:rPr>
        <w:rFonts w:ascii="Courier New" w:hAnsi="Courier New" w:cs="Courier New" w:hint="default"/>
      </w:rPr>
    </w:lvl>
    <w:lvl w:ilvl="2" w:tplc="040B0005" w:tentative="1">
      <w:start w:val="1"/>
      <w:numFmt w:val="bullet"/>
      <w:lvlText w:val=""/>
      <w:lvlJc w:val="left"/>
      <w:pPr>
        <w:ind w:left="3297" w:hanging="360"/>
      </w:pPr>
      <w:rPr>
        <w:rFonts w:ascii="Wingdings" w:hAnsi="Wingdings" w:hint="default"/>
      </w:rPr>
    </w:lvl>
    <w:lvl w:ilvl="3" w:tplc="040B0001" w:tentative="1">
      <w:start w:val="1"/>
      <w:numFmt w:val="bullet"/>
      <w:lvlText w:val=""/>
      <w:lvlJc w:val="left"/>
      <w:pPr>
        <w:ind w:left="4017" w:hanging="360"/>
      </w:pPr>
      <w:rPr>
        <w:rFonts w:ascii="Symbol" w:hAnsi="Symbol" w:hint="default"/>
      </w:rPr>
    </w:lvl>
    <w:lvl w:ilvl="4" w:tplc="040B0003" w:tentative="1">
      <w:start w:val="1"/>
      <w:numFmt w:val="bullet"/>
      <w:lvlText w:val="o"/>
      <w:lvlJc w:val="left"/>
      <w:pPr>
        <w:ind w:left="4737" w:hanging="360"/>
      </w:pPr>
      <w:rPr>
        <w:rFonts w:ascii="Courier New" w:hAnsi="Courier New" w:cs="Courier New" w:hint="default"/>
      </w:rPr>
    </w:lvl>
    <w:lvl w:ilvl="5" w:tplc="040B0005" w:tentative="1">
      <w:start w:val="1"/>
      <w:numFmt w:val="bullet"/>
      <w:lvlText w:val=""/>
      <w:lvlJc w:val="left"/>
      <w:pPr>
        <w:ind w:left="5457" w:hanging="360"/>
      </w:pPr>
      <w:rPr>
        <w:rFonts w:ascii="Wingdings" w:hAnsi="Wingdings" w:hint="default"/>
      </w:rPr>
    </w:lvl>
    <w:lvl w:ilvl="6" w:tplc="040B0001" w:tentative="1">
      <w:start w:val="1"/>
      <w:numFmt w:val="bullet"/>
      <w:lvlText w:val=""/>
      <w:lvlJc w:val="left"/>
      <w:pPr>
        <w:ind w:left="6177" w:hanging="360"/>
      </w:pPr>
      <w:rPr>
        <w:rFonts w:ascii="Symbol" w:hAnsi="Symbol" w:hint="default"/>
      </w:rPr>
    </w:lvl>
    <w:lvl w:ilvl="7" w:tplc="040B0003" w:tentative="1">
      <w:start w:val="1"/>
      <w:numFmt w:val="bullet"/>
      <w:lvlText w:val="o"/>
      <w:lvlJc w:val="left"/>
      <w:pPr>
        <w:ind w:left="6897" w:hanging="360"/>
      </w:pPr>
      <w:rPr>
        <w:rFonts w:ascii="Courier New" w:hAnsi="Courier New" w:cs="Courier New" w:hint="default"/>
      </w:rPr>
    </w:lvl>
    <w:lvl w:ilvl="8" w:tplc="040B0005" w:tentative="1">
      <w:start w:val="1"/>
      <w:numFmt w:val="bullet"/>
      <w:lvlText w:val=""/>
      <w:lvlJc w:val="left"/>
      <w:pPr>
        <w:ind w:left="7617" w:hanging="360"/>
      </w:pPr>
      <w:rPr>
        <w:rFonts w:ascii="Wingdings" w:hAnsi="Wingdings" w:hint="default"/>
      </w:rPr>
    </w:lvl>
  </w:abstractNum>
  <w:abstractNum w:abstractNumId="1" w15:restartNumberingAfterBreak="0">
    <w:nsid w:val="579E1635"/>
    <w:multiLevelType w:val="hybridMultilevel"/>
    <w:tmpl w:val="069CC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85D1A"/>
    <w:multiLevelType w:val="hybridMultilevel"/>
    <w:tmpl w:val="72DCDD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3F"/>
    <w:rsid w:val="00082852"/>
    <w:rsid w:val="00084A12"/>
    <w:rsid w:val="000A0E8E"/>
    <w:rsid w:val="001079FA"/>
    <w:rsid w:val="00197DC8"/>
    <w:rsid w:val="00391AB8"/>
    <w:rsid w:val="00543E2F"/>
    <w:rsid w:val="005F03AD"/>
    <w:rsid w:val="0068599F"/>
    <w:rsid w:val="006B63B7"/>
    <w:rsid w:val="0077037C"/>
    <w:rsid w:val="008E044B"/>
    <w:rsid w:val="009837CE"/>
    <w:rsid w:val="009D5506"/>
    <w:rsid w:val="009F2BAC"/>
    <w:rsid w:val="00AA65F5"/>
    <w:rsid w:val="00B63842"/>
    <w:rsid w:val="00B77AAC"/>
    <w:rsid w:val="00C20F4C"/>
    <w:rsid w:val="00C74E33"/>
    <w:rsid w:val="00CB26C0"/>
    <w:rsid w:val="00D0676E"/>
    <w:rsid w:val="00DB7022"/>
    <w:rsid w:val="00EC0DDF"/>
    <w:rsid w:val="00FE783F"/>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69DBF854"/>
  <w15:chartTrackingRefBased/>
  <w15:docId w15:val="{DE60574F-53E0-4E37-A3B7-96B7DBCA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Mincho"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Body Text"/>
    <w:qFormat/>
    <w:rsid w:val="006B63B7"/>
    <w:pPr>
      <w:spacing w:line="260" w:lineRule="exact"/>
    </w:pPr>
    <w:rPr>
      <w:szCs w:val="24"/>
      <w:lang w:val="fr-FR" w:eastAsia="ja-JP"/>
    </w:rPr>
  </w:style>
  <w:style w:type="paragraph" w:styleId="Otsikko1">
    <w:name w:val="heading 1"/>
    <w:aliases w:val="Title,iso"/>
    <w:basedOn w:val="Normaali"/>
    <w:next w:val="Normaali"/>
    <w:link w:val="Otsikko1Char"/>
    <w:uiPriority w:val="9"/>
    <w:qFormat/>
    <w:rsid w:val="006B63B7"/>
    <w:pPr>
      <w:keepNext/>
      <w:keepLines/>
      <w:spacing w:line="240" w:lineRule="exact"/>
      <w:contextualSpacing/>
      <w:outlineLvl w:val="0"/>
    </w:pPr>
    <w:rPr>
      <w:rFonts w:ascii="Arial" w:eastAsia="MS PGothic" w:hAnsi="Arial"/>
      <w:b/>
      <w:bCs/>
      <w:color w:val="415967"/>
      <w:sz w:val="36"/>
      <w:szCs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Otsikko Char,iso Char"/>
    <w:link w:val="Otsikko1"/>
    <w:uiPriority w:val="9"/>
    <w:rsid w:val="006B63B7"/>
    <w:rPr>
      <w:rFonts w:ascii="Arial" w:eastAsia="MS PGothic" w:hAnsi="Arial" w:cs="Times New Roman"/>
      <w:b/>
      <w:bCs/>
      <w:color w:val="415967"/>
      <w:sz w:val="36"/>
      <w:szCs w:val="32"/>
      <w:lang w:val="fr-FR"/>
    </w:rPr>
  </w:style>
  <w:style w:type="paragraph" w:styleId="Yltunniste">
    <w:name w:val="header"/>
    <w:basedOn w:val="Normaali"/>
    <w:link w:val="YltunnisteChar"/>
    <w:uiPriority w:val="99"/>
    <w:unhideWhenUsed/>
    <w:rsid w:val="00FE783F"/>
    <w:pPr>
      <w:tabs>
        <w:tab w:val="center" w:pos="4320"/>
        <w:tab w:val="right" w:pos="8640"/>
      </w:tabs>
      <w:spacing w:line="240" w:lineRule="auto"/>
    </w:pPr>
  </w:style>
  <w:style w:type="character" w:customStyle="1" w:styleId="YltunnisteChar">
    <w:name w:val="Ylätunniste Char"/>
    <w:link w:val="Yltunniste"/>
    <w:uiPriority w:val="99"/>
    <w:rsid w:val="00FE783F"/>
    <w:rPr>
      <w:sz w:val="20"/>
      <w:lang w:val="fr-FR"/>
    </w:rPr>
  </w:style>
  <w:style w:type="paragraph" w:styleId="Alatunniste">
    <w:name w:val="footer"/>
    <w:basedOn w:val="Normaali"/>
    <w:link w:val="AlatunnisteChar"/>
    <w:uiPriority w:val="99"/>
    <w:unhideWhenUsed/>
    <w:rsid w:val="00FE783F"/>
    <w:pPr>
      <w:tabs>
        <w:tab w:val="center" w:pos="4320"/>
        <w:tab w:val="right" w:pos="8640"/>
      </w:tabs>
      <w:spacing w:line="240" w:lineRule="auto"/>
    </w:pPr>
  </w:style>
  <w:style w:type="character" w:customStyle="1" w:styleId="AlatunnisteChar">
    <w:name w:val="Alatunniste Char"/>
    <w:link w:val="Alatunniste"/>
    <w:uiPriority w:val="99"/>
    <w:rsid w:val="00FE783F"/>
    <w:rPr>
      <w:sz w:val="20"/>
      <w:lang w:val="fr-FR"/>
    </w:rPr>
  </w:style>
  <w:style w:type="paragraph" w:styleId="Seliteteksti">
    <w:name w:val="Balloon Text"/>
    <w:basedOn w:val="Normaali"/>
    <w:link w:val="SelitetekstiChar"/>
    <w:uiPriority w:val="99"/>
    <w:semiHidden/>
    <w:unhideWhenUsed/>
    <w:rsid w:val="00FE783F"/>
    <w:pPr>
      <w:spacing w:line="240" w:lineRule="auto"/>
    </w:pPr>
    <w:rPr>
      <w:rFonts w:ascii="Lucida Grande" w:hAnsi="Lucida Grande" w:cs="Lucida Grande"/>
      <w:sz w:val="18"/>
      <w:szCs w:val="18"/>
    </w:rPr>
  </w:style>
  <w:style w:type="character" w:customStyle="1" w:styleId="SelitetekstiChar">
    <w:name w:val="Seliteteksti Char"/>
    <w:link w:val="Seliteteksti"/>
    <w:uiPriority w:val="99"/>
    <w:semiHidden/>
    <w:rsid w:val="00FE783F"/>
    <w:rPr>
      <w:rFonts w:ascii="Lucida Grande" w:hAnsi="Lucida Grande" w:cs="Lucida Grande"/>
      <w:sz w:val="18"/>
      <w:szCs w:val="18"/>
      <w:lang w:val="fr-FR"/>
    </w:rPr>
  </w:style>
  <w:style w:type="character" w:styleId="Hyperlinkki">
    <w:name w:val="Hyperlink"/>
    <w:rsid w:val="00EC0DDF"/>
    <w:rPr>
      <w:rFonts w:cs="Times New Roman"/>
      <w:color w:val="325498"/>
      <w:u w:val="none"/>
      <w:effect w:val="none"/>
    </w:rPr>
  </w:style>
  <w:style w:type="paragraph" w:styleId="Luettelokappale">
    <w:name w:val="List Paragraph"/>
    <w:basedOn w:val="Normaali"/>
    <w:uiPriority w:val="34"/>
    <w:qFormat/>
    <w:rsid w:val="00EC0DDF"/>
    <w:pPr>
      <w:spacing w:after="200" w:line="276" w:lineRule="auto"/>
      <w:ind w:left="720"/>
      <w:contextualSpacing/>
    </w:pPr>
    <w:rPr>
      <w:rFonts w:ascii="Calibri" w:eastAsia="Times New Roman" w:hAnsi="Calibri"/>
      <w:sz w:val="22"/>
      <w:szCs w:val="22"/>
      <w:lang w:val="it-IT" w:eastAsia="en-US"/>
    </w:rPr>
  </w:style>
  <w:style w:type="paragraph" w:styleId="Alaviitteenteksti">
    <w:name w:val="footnote text"/>
    <w:basedOn w:val="Normaali"/>
    <w:link w:val="AlaviitteentekstiChar"/>
    <w:uiPriority w:val="99"/>
    <w:semiHidden/>
    <w:unhideWhenUsed/>
    <w:rsid w:val="00DB7022"/>
    <w:pPr>
      <w:spacing w:line="240" w:lineRule="auto"/>
    </w:pPr>
    <w:rPr>
      <w:rFonts w:ascii="Calibri" w:eastAsia="Calibri" w:hAnsi="Calibri"/>
      <w:szCs w:val="20"/>
      <w:lang w:val="fi-FI" w:eastAsia="en-US"/>
    </w:rPr>
  </w:style>
  <w:style w:type="character" w:customStyle="1" w:styleId="AlaviitteentekstiChar">
    <w:name w:val="Alaviitteen teksti Char"/>
    <w:link w:val="Alaviitteenteksti"/>
    <w:uiPriority w:val="99"/>
    <w:semiHidden/>
    <w:rsid w:val="00DB7022"/>
    <w:rPr>
      <w:rFonts w:ascii="Calibri" w:eastAsia="Calibri" w:hAnsi="Calibri"/>
      <w:lang w:eastAsia="en-US"/>
    </w:rPr>
  </w:style>
  <w:style w:type="character" w:styleId="Alaviitteenviite">
    <w:name w:val="footnote reference"/>
    <w:uiPriority w:val="99"/>
    <w:semiHidden/>
    <w:unhideWhenUsed/>
    <w:rsid w:val="00DB7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vm.fi/documents/10623/1115054/Valitse_oikein_Opaskirja_low.pdf/5b65b4e2-b95d-4497-ad22-53acc9d478cb" TargetMode="External"/><Relationship Id="rId1" Type="http://schemas.openxmlformats.org/officeDocument/2006/relationships/hyperlink" Target="https://intranet.eduskunta.fi/palvelut/henkilosto/rekrytointi/Documents/Ohje_virant%C3%A4yt%C3%B6ss%C3%A4_noudatettavista_periaatteista_30.4.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663</Words>
  <Characters>5379</Characters>
  <Application>Microsoft Office Word</Application>
  <DocSecurity>0</DocSecurity>
  <Lines>44</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6030</CharactersWithSpaces>
  <SharedDoc>false</SharedDoc>
  <HLinks>
    <vt:vector size="12" baseType="variant">
      <vt:variant>
        <vt:i4>1704041</vt:i4>
      </vt:variant>
      <vt:variant>
        <vt:i4>3</vt:i4>
      </vt:variant>
      <vt:variant>
        <vt:i4>0</vt:i4>
      </vt:variant>
      <vt:variant>
        <vt:i4>5</vt:i4>
      </vt:variant>
      <vt:variant>
        <vt:lpwstr>https://vm.fi/documents/10623/1115054/Valitse_oikein_Opaskirja_low.pdf/5b65b4e2-b95d-4497-ad22-53acc9d478cb</vt:lpwstr>
      </vt:variant>
      <vt:variant>
        <vt:lpwstr/>
      </vt:variant>
      <vt:variant>
        <vt:i4>7536752</vt:i4>
      </vt:variant>
      <vt:variant>
        <vt:i4>0</vt:i4>
      </vt:variant>
      <vt:variant>
        <vt:i4>0</vt:i4>
      </vt:variant>
      <vt:variant>
        <vt:i4>5</vt:i4>
      </vt:variant>
      <vt:variant>
        <vt:lpwstr>https://intranet.eduskunta.fi/palvelut/henkilosto/rekrytointi/Documents/Ohje_virant%C3%A4yt%C3%B6ss%C3%A4_noudatettavista_periaatteista_30.4.2019.pdf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Eines Piipari</dc:creator>
  <cp:keywords/>
  <dc:description/>
  <cp:lastModifiedBy>Hakala Elina</cp:lastModifiedBy>
  <cp:revision>3</cp:revision>
  <cp:lastPrinted>2019-11-19T11:48:00Z</cp:lastPrinted>
  <dcterms:created xsi:type="dcterms:W3CDTF">2022-03-18T13:32:00Z</dcterms:created>
  <dcterms:modified xsi:type="dcterms:W3CDTF">2022-03-18T13:37:00Z</dcterms:modified>
</cp:coreProperties>
</file>