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31B3" w14:textId="087BBC86" w:rsidR="005F5DD9" w:rsidRPr="00CF4101" w:rsidRDefault="00EA07D5" w:rsidP="005F5DD9">
      <w:pPr>
        <w:pStyle w:val="Otsikko1"/>
        <w:spacing w:line="276" w:lineRule="auto"/>
        <w:jc w:val="both"/>
        <w:rPr>
          <w:sz w:val="22"/>
          <w:szCs w:val="22"/>
          <w:highlight w:val="yellow"/>
        </w:rPr>
        <w:sectPr w:rsidR="005F5DD9" w:rsidRPr="00CF4101"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bookmarkStart w:id="0" w:name="_Toc153796458"/>
      <w:bookmarkStart w:id="1" w:name="_Toc153796489"/>
      <w:bookmarkStart w:id="2" w:name="_Toc153796617"/>
      <w:bookmarkStart w:id="3" w:name="_Toc153796697"/>
      <w:bookmarkStart w:id="4" w:name="_Toc153893378"/>
      <w:r>
        <w:rPr>
          <w:noProof/>
        </w:rPr>
        <w:pict w14:anchorId="24502EE7">
          <v:shapetype id="_x0000_t202" coordsize="21600,21600" o:spt="202" path="m,l,21600r21600,l21600,xe">
            <v:stroke joinstyle="miter"/>
            <v:path gradientshapeok="t" o:connecttype="rect"/>
          </v:shapetype>
          <v:shape id="Text Box 2" o:spid="_x0000_s2052" type="#_x0000_t202" style="position:absolute;left:0;text-align:left;margin-left:-71.45pt;margin-top:-17.95pt;width:511.4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4C172847" w14:textId="4143A18E" w:rsidR="005F5DD9" w:rsidRPr="00E26429" w:rsidRDefault="00E26429" w:rsidP="005F5DD9">
                  <w:pPr>
                    <w:pStyle w:val="Ooitekentt"/>
                    <w:rPr>
                      <w:lang w:val="en-GB"/>
                    </w:rPr>
                  </w:pPr>
                  <w:r w:rsidRPr="0047358D">
                    <w:rPr>
                      <w:sz w:val="20"/>
                      <w:szCs w:val="20"/>
                    </w:rPr>
                    <w:t xml:space="preserve">by email to </w:t>
                  </w:r>
                  <w:hyperlink r:id="rId14" w:history="1">
                    <w:r w:rsidR="0047358D">
                      <w:rPr>
                        <w:rStyle w:val="Hyperlinkki"/>
                        <w:lang w:val="en-GB"/>
                      </w:rPr>
                      <w:t>conventionviolence@coe.int</w:t>
                    </w:r>
                  </w:hyperlink>
                </w:p>
              </w:txbxContent>
            </v:textbox>
            <w10:wrap type="square"/>
          </v:shape>
        </w:pict>
      </w:r>
      <w:r>
        <w:rPr>
          <w:noProof/>
        </w:rPr>
        <w:pict w14:anchorId="6255C1F6">
          <v:shape id="Text Box 8" o:spid="_x0000_s2051" type="#_x0000_t202" style="position:absolute;left:0;text-align:left;margin-left:104.5pt;margin-top:-17.95pt;width:1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E0134E" w14:paraId="1E3CA62A" w14:textId="77777777">
                          <w:trPr>
                            <w:tblCellSpacing w:w="0" w:type="dxa"/>
                          </w:trPr>
                          <w:tc>
                            <w:tcPr>
                              <w:tcW w:w="2250" w:type="dxa"/>
                              <w:noWrap/>
                              <w:vAlign w:val="center"/>
                              <w:hideMark/>
                            </w:tcPr>
                            <w:p w14:paraId="2F710795" w14:textId="3A3B193B" w:rsidR="005F5DD9" w:rsidRPr="000B7344" w:rsidRDefault="005F5DD9" w:rsidP="00E0134E">
                              <w:pPr>
                                <w:pStyle w:val="Pivysjadiaarinumero"/>
                              </w:pPr>
                              <w:r w:rsidRPr="000B7344">
                                <w:t>IOK/</w:t>
                              </w:r>
                              <w:r w:rsidR="0047358D">
                                <w:t>8046</w:t>
                              </w:r>
                              <w:r w:rsidRPr="000B7344">
                                <w:t>/202</w:t>
                              </w:r>
                              <w:r w:rsidR="00855063" w:rsidRPr="000B7344">
                                <w:t>3</w:t>
                              </w:r>
                            </w:p>
                          </w:tc>
                        </w:tr>
                      </w:tbl>
                      <w:p w14:paraId="17BF543B" w14:textId="77777777" w:rsidR="005F5DD9" w:rsidRPr="00E0134E"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E0134E" w:rsidRDefault="005F5DD9" w:rsidP="00E0134E">
                        <w:pPr>
                          <w:pStyle w:val="Pivysjadiaarinumero"/>
                        </w:pPr>
                        <w:r>
                          <w:t>IOK</w:t>
                        </w:r>
                        <w:r w:rsidRPr="00E0134E">
                          <w:t>22</w:t>
                        </w:r>
                      </w:p>
                    </w:tc>
                  </w:tr>
                </w:tbl>
                <w:p w14:paraId="199FEF8D" w14:textId="77777777" w:rsidR="005F5DD9" w:rsidRPr="007E285C" w:rsidRDefault="005F5DD9" w:rsidP="005F5DD9">
                  <w:pPr>
                    <w:pStyle w:val="Pivysjadiaarinumero"/>
                    <w:rPr>
                      <w:lang w:val="fi-FI"/>
                    </w:rPr>
                  </w:pPr>
                  <w:r>
                    <w:rPr>
                      <w:lang w:val="fi-FI"/>
                    </w:rPr>
                    <w:t>xx/2022</w:t>
                  </w:r>
                </w:p>
              </w:txbxContent>
            </v:textbox>
            <w10:wrap type="square"/>
          </v:shape>
        </w:pict>
      </w:r>
      <w:r>
        <w:rPr>
          <w:noProof/>
        </w:rPr>
        <w:pict w14:anchorId="6F8F5B18">
          <v:shape id="Text Box 1" o:spid="_x0000_s2050" type="#_x0000_t202" style="position:absolute;left:0;text-align:left;margin-left:253pt;margin-top:-17.95pt;width:1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27B5B915" w14:textId="359FE50B" w:rsidR="005F5DD9" w:rsidRPr="003B4325" w:rsidRDefault="008B00D8" w:rsidP="005F5DD9">
                  <w:pPr>
                    <w:pStyle w:val="Pivysjadiaarinumero"/>
                    <w:rPr>
                      <w:lang w:val="fi-FI"/>
                    </w:rPr>
                  </w:pPr>
                  <w:r w:rsidRPr="008B00D8">
                    <w:t>1</w:t>
                  </w:r>
                  <w:r w:rsidR="00350A29">
                    <w:t>9</w:t>
                  </w:r>
                  <w:r w:rsidR="005F5DD9" w:rsidRPr="008B00D8">
                    <w:t>.</w:t>
                  </w:r>
                  <w:r w:rsidRPr="008B00D8">
                    <w:t>12</w:t>
                  </w:r>
                  <w:r w:rsidR="005F5DD9" w:rsidRPr="008B00D8">
                    <w:t>.202</w:t>
                  </w:r>
                  <w:r w:rsidR="00855063" w:rsidRPr="008B00D8">
                    <w:t>3</w:t>
                  </w:r>
                </w:p>
              </w:txbxContent>
            </v:textbox>
            <w10:wrap type="square"/>
          </v:shape>
        </w:pict>
      </w:r>
      <w:bookmarkEnd w:id="0"/>
      <w:bookmarkEnd w:id="1"/>
      <w:bookmarkEnd w:id="2"/>
      <w:bookmarkEnd w:id="3"/>
      <w:bookmarkEnd w:id="4"/>
    </w:p>
    <w:p w14:paraId="2DA1560D" w14:textId="116D79BB" w:rsidR="005F5DD9" w:rsidRPr="00CF4101" w:rsidRDefault="00803970" w:rsidP="005F5DD9">
      <w:pPr>
        <w:pStyle w:val="Otsikko1"/>
        <w:spacing w:line="276" w:lineRule="auto"/>
        <w:jc w:val="both"/>
        <w:rPr>
          <w:sz w:val="22"/>
          <w:lang w:val="en-GB"/>
        </w:rPr>
      </w:pPr>
      <w:r w:rsidRPr="00CF4101">
        <w:rPr>
          <w:sz w:val="22"/>
          <w:lang w:val="en-GB"/>
        </w:rPr>
        <w:t xml:space="preserve"> </w:t>
      </w:r>
      <w:bookmarkStart w:id="5" w:name="_Toc153796698"/>
      <w:bookmarkStart w:id="6" w:name="_Toc153893379"/>
      <w:r w:rsidRPr="00CF4101">
        <w:rPr>
          <w:sz w:val="22"/>
          <w:lang w:val="en-GB"/>
        </w:rPr>
        <w:t xml:space="preserve">Finland </w:t>
      </w:r>
      <w:r w:rsidR="0034624F" w:rsidRPr="00CF4101">
        <w:rPr>
          <w:sz w:val="22"/>
          <w:lang w:val="en-GB"/>
        </w:rPr>
        <w:t>–</w:t>
      </w:r>
      <w:r w:rsidRPr="00CF4101">
        <w:rPr>
          <w:sz w:val="22"/>
          <w:lang w:val="en-GB"/>
        </w:rPr>
        <w:t xml:space="preserve"> </w:t>
      </w:r>
      <w:r w:rsidR="00CF4101" w:rsidRPr="00CF4101">
        <w:rPr>
          <w:sz w:val="22"/>
          <w:lang w:val="en-GB"/>
        </w:rPr>
        <w:t>Istanbul Convention</w:t>
      </w:r>
      <w:bookmarkEnd w:id="5"/>
      <w:bookmarkEnd w:id="6"/>
    </w:p>
    <w:p w14:paraId="216F0924" w14:textId="77777777" w:rsidR="005F5DD9" w:rsidRPr="00CF4101" w:rsidRDefault="005F5DD9" w:rsidP="005F5DD9">
      <w:pPr>
        <w:rPr>
          <w:lang w:val="en-GB"/>
        </w:rPr>
      </w:pPr>
    </w:p>
    <w:p w14:paraId="3BBE75F2" w14:textId="04F8B9BD" w:rsidR="005F5DD9" w:rsidRPr="00CF4101" w:rsidRDefault="00CF4101" w:rsidP="005F5DD9">
      <w:pPr>
        <w:pStyle w:val="Otsikko2"/>
        <w:spacing w:line="276" w:lineRule="auto"/>
        <w:jc w:val="both"/>
        <w:rPr>
          <w:sz w:val="22"/>
          <w:szCs w:val="22"/>
          <w:lang w:val="en-GB"/>
        </w:rPr>
      </w:pPr>
      <w:bookmarkStart w:id="7" w:name="_Toc153796699"/>
      <w:bookmarkStart w:id="8" w:name="_Toc153893380"/>
      <w:r w:rsidRPr="00CF4101">
        <w:rPr>
          <w:sz w:val="22"/>
          <w:szCs w:val="22"/>
          <w:lang w:val="en-GB"/>
        </w:rPr>
        <w:t>Observations on the 1</w:t>
      </w:r>
      <w:r w:rsidRPr="00CF4101">
        <w:rPr>
          <w:sz w:val="22"/>
          <w:szCs w:val="22"/>
          <w:vertAlign w:val="superscript"/>
          <w:lang w:val="en-GB"/>
        </w:rPr>
        <w:t>st</w:t>
      </w:r>
      <w:r w:rsidRPr="00CF4101">
        <w:rPr>
          <w:sz w:val="22"/>
          <w:szCs w:val="22"/>
          <w:lang w:val="en-GB"/>
        </w:rPr>
        <w:t xml:space="preserve"> Thematic Report - </w:t>
      </w:r>
      <w:r w:rsidR="0034624F" w:rsidRPr="00CF4101">
        <w:rPr>
          <w:sz w:val="22"/>
          <w:szCs w:val="22"/>
          <w:lang w:val="en-GB"/>
        </w:rPr>
        <w:t>Finnish NHRI</w:t>
      </w:r>
      <w:bookmarkEnd w:id="7"/>
      <w:bookmarkEnd w:id="8"/>
    </w:p>
    <w:p w14:paraId="14BF882A" w14:textId="77777777" w:rsidR="005F5DD9" w:rsidRPr="00CF4101" w:rsidRDefault="005F5DD9" w:rsidP="005F5DD9">
      <w:pPr>
        <w:spacing w:line="276" w:lineRule="auto"/>
        <w:jc w:val="both"/>
        <w:rPr>
          <w:b/>
          <w:bCs/>
          <w:sz w:val="22"/>
          <w:lang w:val="en-GB"/>
        </w:rPr>
      </w:pPr>
    </w:p>
    <w:p w14:paraId="4D9BF6A0" w14:textId="5403A226" w:rsidR="002E6EE9" w:rsidRPr="00CF4101" w:rsidRDefault="002E6EE9" w:rsidP="007C30BB">
      <w:pPr>
        <w:rPr>
          <w:sz w:val="22"/>
          <w:lang w:val="en-GB"/>
        </w:rPr>
      </w:pPr>
      <w:r w:rsidRPr="00CF4101">
        <w:rPr>
          <w:sz w:val="22"/>
          <w:lang w:val="en-US"/>
        </w:rPr>
        <w:t xml:space="preserve">This document contains observations </w:t>
      </w:r>
      <w:r w:rsidR="00CF4101" w:rsidRPr="00CF4101">
        <w:rPr>
          <w:sz w:val="22"/>
          <w:lang w:val="en-US"/>
        </w:rPr>
        <w:t xml:space="preserve">and additions </w:t>
      </w:r>
      <w:r w:rsidRPr="00CF4101">
        <w:rPr>
          <w:sz w:val="22"/>
          <w:lang w:val="en-US"/>
        </w:rPr>
        <w:t>by the Finnish Human Rights Centre (HRC</w:t>
      </w:r>
      <w:r w:rsidRPr="00CF4101">
        <w:rPr>
          <w:sz w:val="22"/>
          <w:vertAlign w:val="superscript"/>
        </w:rPr>
        <w:footnoteReference w:id="1"/>
      </w:r>
      <w:r w:rsidRPr="00CF4101">
        <w:rPr>
          <w:sz w:val="22"/>
          <w:lang w:val="en-US"/>
        </w:rPr>
        <w:t xml:space="preserve">, NHRI) to the </w:t>
      </w:r>
      <w:r w:rsidR="00CF4101" w:rsidRPr="00CF4101">
        <w:rPr>
          <w:sz w:val="22"/>
          <w:lang w:val="en-US"/>
        </w:rPr>
        <w:t xml:space="preserve">first </w:t>
      </w:r>
      <w:r w:rsidR="00C857EF">
        <w:rPr>
          <w:sz w:val="22"/>
          <w:lang w:val="en-US"/>
        </w:rPr>
        <w:t>t</w:t>
      </w:r>
      <w:r w:rsidR="00CF4101" w:rsidRPr="00CF4101">
        <w:rPr>
          <w:sz w:val="22"/>
          <w:lang w:val="en-US"/>
        </w:rPr>
        <w:t xml:space="preserve">hematic report by </w:t>
      </w:r>
      <w:r w:rsidR="00803970" w:rsidRPr="00CF4101">
        <w:rPr>
          <w:sz w:val="22"/>
          <w:lang w:val="en-GB"/>
        </w:rPr>
        <w:t>the Government</w:t>
      </w:r>
      <w:r w:rsidR="00C857EF">
        <w:rPr>
          <w:sz w:val="22"/>
          <w:lang w:val="en-GB"/>
        </w:rPr>
        <w:t xml:space="preserve"> of Finland</w:t>
      </w:r>
      <w:r w:rsidR="00803970" w:rsidRPr="00CF4101">
        <w:rPr>
          <w:sz w:val="22"/>
          <w:lang w:val="en-GB"/>
        </w:rPr>
        <w:t xml:space="preserve">, submitted in </w:t>
      </w:r>
      <w:r w:rsidR="00C857EF">
        <w:rPr>
          <w:sz w:val="22"/>
          <w:lang w:val="en-GB"/>
        </w:rPr>
        <w:t>October</w:t>
      </w:r>
      <w:r w:rsidR="00803970" w:rsidRPr="00CF4101">
        <w:rPr>
          <w:sz w:val="22"/>
          <w:lang w:val="en-GB"/>
        </w:rPr>
        <w:t xml:space="preserve"> 2023.</w:t>
      </w:r>
    </w:p>
    <w:p w14:paraId="22B0FDDF" w14:textId="7B080C81" w:rsidR="008E19B9" w:rsidRPr="00CF4101" w:rsidRDefault="008E19B9" w:rsidP="007C30BB">
      <w:pPr>
        <w:rPr>
          <w:sz w:val="22"/>
          <w:lang w:val="en-US"/>
        </w:rPr>
      </w:pPr>
    </w:p>
    <w:p w14:paraId="7ED4AF6A" w14:textId="6E7DE872" w:rsidR="008E19B9" w:rsidRDefault="008E19B9" w:rsidP="007C30BB">
      <w:pPr>
        <w:rPr>
          <w:sz w:val="22"/>
          <w:lang w:val="en-GB"/>
        </w:rPr>
      </w:pPr>
      <w:r w:rsidRPr="00CF4101">
        <w:rPr>
          <w:sz w:val="22"/>
          <w:lang w:val="en-GB"/>
        </w:rPr>
        <w:t xml:space="preserve">Should you have any further questions or need for additional information, do not hesitate to contact us at </w:t>
      </w:r>
      <w:hyperlink r:id="rId15" w:history="1">
        <w:r w:rsidR="00400846" w:rsidRPr="00CF4101">
          <w:rPr>
            <w:rStyle w:val="Hyperlinkki"/>
            <w:sz w:val="22"/>
            <w:lang w:val="en-GB"/>
          </w:rPr>
          <w:t>leena.leikas@humanrightscentre.fi</w:t>
        </w:r>
      </w:hyperlink>
      <w:r w:rsidR="00803970" w:rsidRPr="00CF4101">
        <w:rPr>
          <w:sz w:val="22"/>
          <w:lang w:val="en-GB"/>
        </w:rPr>
        <w:t xml:space="preserve">. </w:t>
      </w:r>
    </w:p>
    <w:p w14:paraId="4369C658" w14:textId="77777777" w:rsidR="00C760E2" w:rsidRDefault="00C760E2" w:rsidP="007C30BB">
      <w:pPr>
        <w:rPr>
          <w:sz w:val="22"/>
          <w:lang w:val="en-GB"/>
        </w:rPr>
      </w:pPr>
    </w:p>
    <w:sdt>
      <w:sdtPr>
        <w:rPr>
          <w:rFonts w:ascii="Arial" w:eastAsia="Arial" w:hAnsi="Arial" w:cs="Times New Roman"/>
          <w:color w:val="000000"/>
          <w:sz w:val="18"/>
          <w:szCs w:val="22"/>
          <w:lang w:eastAsia="en-US"/>
        </w:rPr>
        <w:id w:val="-651374916"/>
        <w:docPartObj>
          <w:docPartGallery w:val="Table of Contents"/>
          <w:docPartUnique/>
        </w:docPartObj>
      </w:sdtPr>
      <w:sdtEndPr>
        <w:rPr>
          <w:b/>
          <w:bCs/>
        </w:rPr>
      </w:sdtEndPr>
      <w:sdtContent>
        <w:p w14:paraId="7DE467F1" w14:textId="5E653187" w:rsidR="00C760E2" w:rsidRDefault="00C760E2">
          <w:pPr>
            <w:pStyle w:val="Sisllysluettelonotsikko"/>
          </w:pPr>
          <w:r>
            <w:t>Sisällys</w:t>
          </w:r>
        </w:p>
        <w:p w14:paraId="0AB528B7" w14:textId="00AD1CB8" w:rsidR="00E822A2" w:rsidRDefault="00C760E2">
          <w:pPr>
            <w:pStyle w:val="Sisluet1"/>
            <w:tabs>
              <w:tab w:val="right" w:leader="dot" w:pos="8040"/>
            </w:tabs>
            <w:rPr>
              <w:rFonts w:asciiTheme="minorHAnsi" w:eastAsiaTheme="minorEastAsia" w:hAnsiTheme="minorHAnsi" w:cstheme="minorBidi"/>
              <w:noProof/>
              <w:color w:val="auto"/>
              <w:kern w:val="2"/>
              <w:sz w:val="22"/>
              <w:lang w:eastAsia="fi-FI"/>
              <w14:ligatures w14:val="standardContextual"/>
            </w:rPr>
          </w:pPr>
          <w:r>
            <w:fldChar w:fldCharType="begin"/>
          </w:r>
          <w:r>
            <w:instrText xml:space="preserve"> TOC \o "1-3" \h \z \u </w:instrText>
          </w:r>
          <w:r>
            <w:fldChar w:fldCharType="separate"/>
          </w:r>
          <w:hyperlink w:anchor="_Toc153893381" w:history="1">
            <w:r w:rsidR="00E822A2" w:rsidRPr="00256CB0">
              <w:rPr>
                <w:rStyle w:val="Hyperlinkki"/>
                <w:noProof/>
                <w:lang w:val="en-US"/>
              </w:rPr>
              <w:t>Part I: Changes in comprehensive and co-ordinated policies, funding and data collection in the area of violence against women and domestic violence</w:t>
            </w:r>
            <w:r w:rsidR="00E822A2">
              <w:rPr>
                <w:noProof/>
                <w:webHidden/>
              </w:rPr>
              <w:tab/>
            </w:r>
            <w:r w:rsidR="00E822A2">
              <w:rPr>
                <w:noProof/>
                <w:webHidden/>
              </w:rPr>
              <w:fldChar w:fldCharType="begin"/>
            </w:r>
            <w:r w:rsidR="00E822A2">
              <w:rPr>
                <w:noProof/>
                <w:webHidden/>
              </w:rPr>
              <w:instrText xml:space="preserve"> PAGEREF _Toc153893381 \h </w:instrText>
            </w:r>
            <w:r w:rsidR="00E822A2">
              <w:rPr>
                <w:noProof/>
                <w:webHidden/>
              </w:rPr>
            </w:r>
            <w:r w:rsidR="00E822A2">
              <w:rPr>
                <w:noProof/>
                <w:webHidden/>
              </w:rPr>
              <w:fldChar w:fldCharType="separate"/>
            </w:r>
            <w:r w:rsidR="00E822A2">
              <w:rPr>
                <w:noProof/>
                <w:webHidden/>
              </w:rPr>
              <w:t>2</w:t>
            </w:r>
            <w:r w:rsidR="00E822A2">
              <w:rPr>
                <w:noProof/>
                <w:webHidden/>
              </w:rPr>
              <w:fldChar w:fldCharType="end"/>
            </w:r>
          </w:hyperlink>
        </w:p>
        <w:p w14:paraId="62E7A435" w14:textId="7DC27165" w:rsidR="00E822A2" w:rsidRDefault="00E822A2">
          <w:pPr>
            <w:pStyle w:val="Sisluet2"/>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2" w:history="1">
            <w:r w:rsidRPr="00256CB0">
              <w:rPr>
                <w:rStyle w:val="Hyperlinkki"/>
                <w:noProof/>
              </w:rPr>
              <w:t>Article 8: Funding</w:t>
            </w:r>
            <w:r>
              <w:rPr>
                <w:noProof/>
                <w:webHidden/>
              </w:rPr>
              <w:tab/>
            </w:r>
            <w:r>
              <w:rPr>
                <w:noProof/>
                <w:webHidden/>
              </w:rPr>
              <w:fldChar w:fldCharType="begin"/>
            </w:r>
            <w:r>
              <w:rPr>
                <w:noProof/>
                <w:webHidden/>
              </w:rPr>
              <w:instrText xml:space="preserve"> PAGEREF _Toc153893382 \h </w:instrText>
            </w:r>
            <w:r>
              <w:rPr>
                <w:noProof/>
                <w:webHidden/>
              </w:rPr>
            </w:r>
            <w:r>
              <w:rPr>
                <w:noProof/>
                <w:webHidden/>
              </w:rPr>
              <w:fldChar w:fldCharType="separate"/>
            </w:r>
            <w:r>
              <w:rPr>
                <w:noProof/>
                <w:webHidden/>
              </w:rPr>
              <w:t>2</w:t>
            </w:r>
            <w:r>
              <w:rPr>
                <w:noProof/>
                <w:webHidden/>
              </w:rPr>
              <w:fldChar w:fldCharType="end"/>
            </w:r>
          </w:hyperlink>
        </w:p>
        <w:p w14:paraId="6B937A24" w14:textId="6C55C4BC" w:rsidR="00E822A2" w:rsidRDefault="00E822A2">
          <w:pPr>
            <w:pStyle w:val="Sisluet1"/>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3" w:history="1">
            <w:r w:rsidRPr="00256CB0">
              <w:rPr>
                <w:rStyle w:val="Hyperlinkki"/>
                <w:noProof/>
                <w:lang w:val="en-GB"/>
              </w:rPr>
              <w:t>Part III: Emerging trends on violence against women and domestic violence</w:t>
            </w:r>
            <w:r>
              <w:rPr>
                <w:noProof/>
                <w:webHidden/>
              </w:rPr>
              <w:tab/>
            </w:r>
            <w:r>
              <w:rPr>
                <w:noProof/>
                <w:webHidden/>
              </w:rPr>
              <w:fldChar w:fldCharType="begin"/>
            </w:r>
            <w:r>
              <w:rPr>
                <w:noProof/>
                <w:webHidden/>
              </w:rPr>
              <w:instrText xml:space="preserve"> PAGEREF _Toc153893383 \h </w:instrText>
            </w:r>
            <w:r>
              <w:rPr>
                <w:noProof/>
                <w:webHidden/>
              </w:rPr>
            </w:r>
            <w:r>
              <w:rPr>
                <w:noProof/>
                <w:webHidden/>
              </w:rPr>
              <w:fldChar w:fldCharType="separate"/>
            </w:r>
            <w:r>
              <w:rPr>
                <w:noProof/>
                <w:webHidden/>
              </w:rPr>
              <w:t>3</w:t>
            </w:r>
            <w:r>
              <w:rPr>
                <w:noProof/>
                <w:webHidden/>
              </w:rPr>
              <w:fldChar w:fldCharType="end"/>
            </w:r>
          </w:hyperlink>
        </w:p>
        <w:p w14:paraId="13C19EB5" w14:textId="07436926" w:rsidR="00E822A2" w:rsidRDefault="00E822A2">
          <w:pPr>
            <w:pStyle w:val="Sisluet2"/>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4" w:history="1">
            <w:r w:rsidRPr="00256CB0">
              <w:rPr>
                <w:rStyle w:val="Hyperlinkki"/>
                <w:noProof/>
                <w:lang w:val="en-GB"/>
              </w:rPr>
              <w:t>Paragraph b): emerging trends in domestic case law related to violence against women</w:t>
            </w:r>
            <w:r>
              <w:rPr>
                <w:noProof/>
                <w:webHidden/>
              </w:rPr>
              <w:tab/>
            </w:r>
            <w:r>
              <w:rPr>
                <w:noProof/>
                <w:webHidden/>
              </w:rPr>
              <w:fldChar w:fldCharType="begin"/>
            </w:r>
            <w:r>
              <w:rPr>
                <w:noProof/>
                <w:webHidden/>
              </w:rPr>
              <w:instrText xml:space="preserve"> PAGEREF _Toc153893384 \h </w:instrText>
            </w:r>
            <w:r>
              <w:rPr>
                <w:noProof/>
                <w:webHidden/>
              </w:rPr>
            </w:r>
            <w:r>
              <w:rPr>
                <w:noProof/>
                <w:webHidden/>
              </w:rPr>
              <w:fldChar w:fldCharType="separate"/>
            </w:r>
            <w:r>
              <w:rPr>
                <w:noProof/>
                <w:webHidden/>
              </w:rPr>
              <w:t>3</w:t>
            </w:r>
            <w:r>
              <w:rPr>
                <w:noProof/>
                <w:webHidden/>
              </w:rPr>
              <w:fldChar w:fldCharType="end"/>
            </w:r>
          </w:hyperlink>
        </w:p>
        <w:p w14:paraId="05F24153" w14:textId="23B591E7" w:rsidR="00E822A2" w:rsidRDefault="00E822A2">
          <w:pPr>
            <w:pStyle w:val="Sisluet3"/>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5" w:history="1">
            <w:r w:rsidRPr="00256CB0">
              <w:rPr>
                <w:rStyle w:val="Hyperlinkki"/>
                <w:noProof/>
                <w:lang w:val="en-GB"/>
              </w:rPr>
              <w:t>Investigation of sexual crimes and intimate partner violence</w:t>
            </w:r>
            <w:r>
              <w:rPr>
                <w:noProof/>
                <w:webHidden/>
              </w:rPr>
              <w:tab/>
            </w:r>
            <w:r>
              <w:rPr>
                <w:noProof/>
                <w:webHidden/>
              </w:rPr>
              <w:fldChar w:fldCharType="begin"/>
            </w:r>
            <w:r>
              <w:rPr>
                <w:noProof/>
                <w:webHidden/>
              </w:rPr>
              <w:instrText xml:space="preserve"> PAGEREF _Toc153893385 \h </w:instrText>
            </w:r>
            <w:r>
              <w:rPr>
                <w:noProof/>
                <w:webHidden/>
              </w:rPr>
            </w:r>
            <w:r>
              <w:rPr>
                <w:noProof/>
                <w:webHidden/>
              </w:rPr>
              <w:fldChar w:fldCharType="separate"/>
            </w:r>
            <w:r>
              <w:rPr>
                <w:noProof/>
                <w:webHidden/>
              </w:rPr>
              <w:t>3</w:t>
            </w:r>
            <w:r>
              <w:rPr>
                <w:noProof/>
                <w:webHidden/>
              </w:rPr>
              <w:fldChar w:fldCharType="end"/>
            </w:r>
          </w:hyperlink>
        </w:p>
        <w:p w14:paraId="39C0D024" w14:textId="5E872C88" w:rsidR="00E822A2" w:rsidRDefault="00E822A2">
          <w:pPr>
            <w:pStyle w:val="Sisluet3"/>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6" w:history="1">
            <w:r w:rsidRPr="00256CB0">
              <w:rPr>
                <w:rStyle w:val="Hyperlinkki"/>
                <w:noProof/>
                <w:lang w:val="en-US" w:eastAsia="zh-CN"/>
              </w:rPr>
              <w:t>Accessibility of shelters</w:t>
            </w:r>
            <w:r>
              <w:rPr>
                <w:noProof/>
                <w:webHidden/>
              </w:rPr>
              <w:tab/>
            </w:r>
            <w:r>
              <w:rPr>
                <w:noProof/>
                <w:webHidden/>
              </w:rPr>
              <w:fldChar w:fldCharType="begin"/>
            </w:r>
            <w:r>
              <w:rPr>
                <w:noProof/>
                <w:webHidden/>
              </w:rPr>
              <w:instrText xml:space="preserve"> PAGEREF _Toc153893386 \h </w:instrText>
            </w:r>
            <w:r>
              <w:rPr>
                <w:noProof/>
                <w:webHidden/>
              </w:rPr>
            </w:r>
            <w:r>
              <w:rPr>
                <w:noProof/>
                <w:webHidden/>
              </w:rPr>
              <w:fldChar w:fldCharType="separate"/>
            </w:r>
            <w:r>
              <w:rPr>
                <w:noProof/>
                <w:webHidden/>
              </w:rPr>
              <w:t>4</w:t>
            </w:r>
            <w:r>
              <w:rPr>
                <w:noProof/>
                <w:webHidden/>
              </w:rPr>
              <w:fldChar w:fldCharType="end"/>
            </w:r>
          </w:hyperlink>
        </w:p>
        <w:p w14:paraId="34FDB764" w14:textId="62EB9205" w:rsidR="00E822A2" w:rsidRDefault="00E822A2">
          <w:pPr>
            <w:pStyle w:val="Sisluet2"/>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7" w:history="1">
            <w:r w:rsidRPr="00256CB0">
              <w:rPr>
                <w:rStyle w:val="Hyperlinkki"/>
                <w:noProof/>
                <w:lang w:val="en-GB"/>
              </w:rPr>
              <w:t>Paragraph c): Emerging trends in the allocation of funding and budgeting by your state authorities</w:t>
            </w:r>
            <w:r>
              <w:rPr>
                <w:noProof/>
                <w:webHidden/>
              </w:rPr>
              <w:tab/>
            </w:r>
            <w:r>
              <w:rPr>
                <w:noProof/>
                <w:webHidden/>
              </w:rPr>
              <w:fldChar w:fldCharType="begin"/>
            </w:r>
            <w:r>
              <w:rPr>
                <w:noProof/>
                <w:webHidden/>
              </w:rPr>
              <w:instrText xml:space="preserve"> PAGEREF _Toc153893387 \h </w:instrText>
            </w:r>
            <w:r>
              <w:rPr>
                <w:noProof/>
                <w:webHidden/>
              </w:rPr>
            </w:r>
            <w:r>
              <w:rPr>
                <w:noProof/>
                <w:webHidden/>
              </w:rPr>
              <w:fldChar w:fldCharType="separate"/>
            </w:r>
            <w:r>
              <w:rPr>
                <w:noProof/>
                <w:webHidden/>
              </w:rPr>
              <w:t>4</w:t>
            </w:r>
            <w:r>
              <w:rPr>
                <w:noProof/>
                <w:webHidden/>
              </w:rPr>
              <w:fldChar w:fldCharType="end"/>
            </w:r>
          </w:hyperlink>
        </w:p>
        <w:p w14:paraId="047147A8" w14:textId="0F4E0B89" w:rsidR="00E822A2" w:rsidRDefault="00E822A2">
          <w:pPr>
            <w:pStyle w:val="Sisluet3"/>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8" w:history="1">
            <w:r w:rsidRPr="00256CB0">
              <w:rPr>
                <w:rStyle w:val="Hyperlinkki"/>
                <w:noProof/>
                <w:lang w:val="en-GB"/>
              </w:rPr>
              <w:t>General overall funding</w:t>
            </w:r>
            <w:r>
              <w:rPr>
                <w:noProof/>
                <w:webHidden/>
              </w:rPr>
              <w:tab/>
            </w:r>
            <w:r>
              <w:rPr>
                <w:noProof/>
                <w:webHidden/>
              </w:rPr>
              <w:fldChar w:fldCharType="begin"/>
            </w:r>
            <w:r>
              <w:rPr>
                <w:noProof/>
                <w:webHidden/>
              </w:rPr>
              <w:instrText xml:space="preserve"> PAGEREF _Toc153893388 \h </w:instrText>
            </w:r>
            <w:r>
              <w:rPr>
                <w:noProof/>
                <w:webHidden/>
              </w:rPr>
            </w:r>
            <w:r>
              <w:rPr>
                <w:noProof/>
                <w:webHidden/>
              </w:rPr>
              <w:fldChar w:fldCharType="separate"/>
            </w:r>
            <w:r>
              <w:rPr>
                <w:noProof/>
                <w:webHidden/>
              </w:rPr>
              <w:t>4</w:t>
            </w:r>
            <w:r>
              <w:rPr>
                <w:noProof/>
                <w:webHidden/>
              </w:rPr>
              <w:fldChar w:fldCharType="end"/>
            </w:r>
          </w:hyperlink>
        </w:p>
        <w:p w14:paraId="08D6A0B9" w14:textId="354BCB49" w:rsidR="00E822A2" w:rsidRDefault="00E822A2">
          <w:pPr>
            <w:pStyle w:val="Sisluet3"/>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89" w:history="1">
            <w:r w:rsidRPr="00256CB0">
              <w:rPr>
                <w:rStyle w:val="Hyperlinkki"/>
                <w:noProof/>
                <w:lang w:val="en-GB"/>
              </w:rPr>
              <w:t>Funding of the NGOs</w:t>
            </w:r>
            <w:r>
              <w:rPr>
                <w:noProof/>
                <w:webHidden/>
              </w:rPr>
              <w:tab/>
            </w:r>
            <w:r>
              <w:rPr>
                <w:noProof/>
                <w:webHidden/>
              </w:rPr>
              <w:fldChar w:fldCharType="begin"/>
            </w:r>
            <w:r>
              <w:rPr>
                <w:noProof/>
                <w:webHidden/>
              </w:rPr>
              <w:instrText xml:space="preserve"> PAGEREF _Toc153893389 \h </w:instrText>
            </w:r>
            <w:r>
              <w:rPr>
                <w:noProof/>
                <w:webHidden/>
              </w:rPr>
            </w:r>
            <w:r>
              <w:rPr>
                <w:noProof/>
                <w:webHidden/>
              </w:rPr>
              <w:fldChar w:fldCharType="separate"/>
            </w:r>
            <w:r>
              <w:rPr>
                <w:noProof/>
                <w:webHidden/>
              </w:rPr>
              <w:t>4</w:t>
            </w:r>
            <w:r>
              <w:rPr>
                <w:noProof/>
                <w:webHidden/>
              </w:rPr>
              <w:fldChar w:fldCharType="end"/>
            </w:r>
          </w:hyperlink>
        </w:p>
        <w:p w14:paraId="2CE07E86" w14:textId="7CE4A4BE" w:rsidR="00E822A2" w:rsidRDefault="00E822A2">
          <w:pPr>
            <w:pStyle w:val="Sisluet2"/>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90" w:history="1">
            <w:r w:rsidRPr="00256CB0">
              <w:rPr>
                <w:rStyle w:val="Hyperlinkki"/>
                <w:noProof/>
                <w:lang w:val="en-GB"/>
              </w:rPr>
              <w:t>Paragraph e): Emerging trends related to access to asylum and international protection for women victims of violence against women</w:t>
            </w:r>
            <w:r>
              <w:rPr>
                <w:noProof/>
                <w:webHidden/>
              </w:rPr>
              <w:tab/>
            </w:r>
            <w:r>
              <w:rPr>
                <w:noProof/>
                <w:webHidden/>
              </w:rPr>
              <w:fldChar w:fldCharType="begin"/>
            </w:r>
            <w:r>
              <w:rPr>
                <w:noProof/>
                <w:webHidden/>
              </w:rPr>
              <w:instrText xml:space="preserve"> PAGEREF _Toc153893390 \h </w:instrText>
            </w:r>
            <w:r>
              <w:rPr>
                <w:noProof/>
                <w:webHidden/>
              </w:rPr>
            </w:r>
            <w:r>
              <w:rPr>
                <w:noProof/>
                <w:webHidden/>
              </w:rPr>
              <w:fldChar w:fldCharType="separate"/>
            </w:r>
            <w:r>
              <w:rPr>
                <w:noProof/>
                <w:webHidden/>
              </w:rPr>
              <w:t>5</w:t>
            </w:r>
            <w:r>
              <w:rPr>
                <w:noProof/>
                <w:webHidden/>
              </w:rPr>
              <w:fldChar w:fldCharType="end"/>
            </w:r>
          </w:hyperlink>
        </w:p>
        <w:p w14:paraId="3B629FB0" w14:textId="3A50E970" w:rsidR="00E822A2" w:rsidRDefault="00E822A2">
          <w:pPr>
            <w:pStyle w:val="Sisluet3"/>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91" w:history="1">
            <w:r w:rsidRPr="00256CB0">
              <w:rPr>
                <w:rStyle w:val="Hyperlinkki"/>
                <w:noProof/>
                <w:lang w:val="en-GB"/>
              </w:rPr>
              <w:t>Revoking of residence permits</w:t>
            </w:r>
            <w:r>
              <w:rPr>
                <w:noProof/>
                <w:webHidden/>
              </w:rPr>
              <w:tab/>
            </w:r>
            <w:r>
              <w:rPr>
                <w:noProof/>
                <w:webHidden/>
              </w:rPr>
              <w:fldChar w:fldCharType="begin"/>
            </w:r>
            <w:r>
              <w:rPr>
                <w:noProof/>
                <w:webHidden/>
              </w:rPr>
              <w:instrText xml:space="preserve"> PAGEREF _Toc153893391 \h </w:instrText>
            </w:r>
            <w:r>
              <w:rPr>
                <w:noProof/>
                <w:webHidden/>
              </w:rPr>
            </w:r>
            <w:r>
              <w:rPr>
                <w:noProof/>
                <w:webHidden/>
              </w:rPr>
              <w:fldChar w:fldCharType="separate"/>
            </w:r>
            <w:r>
              <w:rPr>
                <w:noProof/>
                <w:webHidden/>
              </w:rPr>
              <w:t>5</w:t>
            </w:r>
            <w:r>
              <w:rPr>
                <w:noProof/>
                <w:webHidden/>
              </w:rPr>
              <w:fldChar w:fldCharType="end"/>
            </w:r>
          </w:hyperlink>
        </w:p>
        <w:p w14:paraId="519507F1" w14:textId="0A3AB4A1" w:rsidR="00E822A2" w:rsidRDefault="00E822A2">
          <w:pPr>
            <w:pStyle w:val="Sisluet2"/>
            <w:tabs>
              <w:tab w:val="right" w:leader="dot" w:pos="8040"/>
            </w:tabs>
            <w:rPr>
              <w:rFonts w:asciiTheme="minorHAnsi" w:eastAsiaTheme="minorEastAsia" w:hAnsiTheme="minorHAnsi" w:cstheme="minorBidi"/>
              <w:noProof/>
              <w:color w:val="auto"/>
              <w:kern w:val="2"/>
              <w:sz w:val="22"/>
              <w:lang w:eastAsia="fi-FI"/>
              <w14:ligatures w14:val="standardContextual"/>
            </w:rPr>
          </w:pPr>
          <w:hyperlink w:anchor="_Toc153893392" w:history="1">
            <w:r w:rsidRPr="00256CB0">
              <w:rPr>
                <w:rStyle w:val="Hyperlinkki"/>
                <w:noProof/>
                <w:lang w:val="en-GB"/>
              </w:rPr>
              <w:t>Reference to earlier observations</w:t>
            </w:r>
            <w:r>
              <w:rPr>
                <w:noProof/>
                <w:webHidden/>
              </w:rPr>
              <w:tab/>
            </w:r>
            <w:r>
              <w:rPr>
                <w:noProof/>
                <w:webHidden/>
              </w:rPr>
              <w:fldChar w:fldCharType="begin"/>
            </w:r>
            <w:r>
              <w:rPr>
                <w:noProof/>
                <w:webHidden/>
              </w:rPr>
              <w:instrText xml:space="preserve"> PAGEREF _Toc153893392 \h </w:instrText>
            </w:r>
            <w:r>
              <w:rPr>
                <w:noProof/>
                <w:webHidden/>
              </w:rPr>
            </w:r>
            <w:r>
              <w:rPr>
                <w:noProof/>
                <w:webHidden/>
              </w:rPr>
              <w:fldChar w:fldCharType="separate"/>
            </w:r>
            <w:r>
              <w:rPr>
                <w:noProof/>
                <w:webHidden/>
              </w:rPr>
              <w:t>5</w:t>
            </w:r>
            <w:r>
              <w:rPr>
                <w:noProof/>
                <w:webHidden/>
              </w:rPr>
              <w:fldChar w:fldCharType="end"/>
            </w:r>
          </w:hyperlink>
        </w:p>
        <w:p w14:paraId="3E747C2A" w14:textId="5D5E7CB2" w:rsidR="00C760E2" w:rsidRDefault="00C760E2">
          <w:r>
            <w:rPr>
              <w:b/>
              <w:bCs/>
            </w:rPr>
            <w:fldChar w:fldCharType="end"/>
          </w:r>
        </w:p>
      </w:sdtContent>
    </w:sdt>
    <w:p w14:paraId="0E2C2927" w14:textId="77777777" w:rsidR="00C760E2" w:rsidRPr="00CF4101" w:rsidRDefault="00C760E2" w:rsidP="007C30BB">
      <w:pPr>
        <w:rPr>
          <w:sz w:val="22"/>
          <w:lang w:val="en-GB"/>
        </w:rPr>
      </w:pPr>
    </w:p>
    <w:p w14:paraId="17E77F3A" w14:textId="77777777" w:rsidR="004F7FB7" w:rsidRPr="00CF4101" w:rsidRDefault="004F7FB7" w:rsidP="007C30BB">
      <w:pPr>
        <w:rPr>
          <w:sz w:val="22"/>
          <w:highlight w:val="yellow"/>
          <w:lang w:val="en-US"/>
        </w:rPr>
      </w:pPr>
    </w:p>
    <w:p w14:paraId="122949C3" w14:textId="103ACAB4" w:rsidR="006120CF" w:rsidRPr="00C760E2" w:rsidRDefault="006120CF" w:rsidP="00E822A2">
      <w:pPr>
        <w:pStyle w:val="Otsikko1"/>
        <w:spacing w:line="276" w:lineRule="auto"/>
        <w:rPr>
          <w:sz w:val="22"/>
          <w:szCs w:val="20"/>
          <w:lang w:val="en-GB"/>
        </w:rPr>
      </w:pPr>
      <w:bookmarkStart w:id="9" w:name="_Toc149253662"/>
      <w:bookmarkStart w:id="10" w:name="_Toc153893381"/>
      <w:r w:rsidRPr="00C760E2">
        <w:rPr>
          <w:sz w:val="22"/>
          <w:szCs w:val="20"/>
          <w:lang w:val="en-US"/>
        </w:rPr>
        <w:t xml:space="preserve">Part I: Changes in comprehensive and </w:t>
      </w:r>
      <w:proofErr w:type="spellStart"/>
      <w:r w:rsidRPr="00C760E2">
        <w:rPr>
          <w:sz w:val="22"/>
          <w:szCs w:val="20"/>
          <w:lang w:val="en-US"/>
        </w:rPr>
        <w:t>co-ordinated</w:t>
      </w:r>
      <w:proofErr w:type="spellEnd"/>
      <w:r w:rsidRPr="00C760E2">
        <w:rPr>
          <w:sz w:val="22"/>
          <w:szCs w:val="20"/>
          <w:lang w:val="en-US"/>
        </w:rPr>
        <w:t xml:space="preserve"> policies, </w:t>
      </w:r>
      <w:proofErr w:type="gramStart"/>
      <w:r w:rsidRPr="00C760E2">
        <w:rPr>
          <w:sz w:val="22"/>
          <w:szCs w:val="20"/>
          <w:lang w:val="en-US"/>
        </w:rPr>
        <w:t>funding</w:t>
      </w:r>
      <w:proofErr w:type="gramEnd"/>
      <w:r w:rsidRPr="00C760E2">
        <w:rPr>
          <w:sz w:val="22"/>
          <w:szCs w:val="20"/>
          <w:lang w:val="en-US"/>
        </w:rPr>
        <w:t xml:space="preserve"> and</w:t>
      </w:r>
      <w:r w:rsidR="00E822A2">
        <w:rPr>
          <w:sz w:val="22"/>
          <w:szCs w:val="20"/>
          <w:lang w:val="en-US"/>
        </w:rPr>
        <w:t xml:space="preserve"> </w:t>
      </w:r>
      <w:r w:rsidRPr="00C760E2">
        <w:rPr>
          <w:sz w:val="22"/>
          <w:szCs w:val="20"/>
          <w:lang w:val="en-US"/>
        </w:rPr>
        <w:t>data collection in the area of violence against women and domestic violence</w:t>
      </w:r>
      <w:bookmarkEnd w:id="9"/>
      <w:bookmarkEnd w:id="10"/>
    </w:p>
    <w:p w14:paraId="37F9A564" w14:textId="6AA334B1" w:rsidR="000A6DE3" w:rsidRPr="00C760E2" w:rsidRDefault="000A6DE3" w:rsidP="00C760E2">
      <w:pPr>
        <w:pStyle w:val="Otsikko2"/>
        <w:rPr>
          <w:sz w:val="22"/>
          <w:szCs w:val="22"/>
        </w:rPr>
      </w:pPr>
      <w:bookmarkStart w:id="11" w:name="_Toc153893382"/>
      <w:proofErr w:type="spellStart"/>
      <w:r w:rsidRPr="00C760E2">
        <w:rPr>
          <w:sz w:val="22"/>
          <w:szCs w:val="22"/>
        </w:rPr>
        <w:t>Article</w:t>
      </w:r>
      <w:proofErr w:type="spellEnd"/>
      <w:r w:rsidRPr="00C760E2">
        <w:rPr>
          <w:sz w:val="22"/>
          <w:szCs w:val="22"/>
        </w:rPr>
        <w:t xml:space="preserve"> 8: </w:t>
      </w:r>
      <w:proofErr w:type="spellStart"/>
      <w:r w:rsidRPr="00C760E2">
        <w:rPr>
          <w:sz w:val="22"/>
          <w:szCs w:val="22"/>
        </w:rPr>
        <w:t>Funding</w:t>
      </w:r>
      <w:bookmarkEnd w:id="11"/>
      <w:proofErr w:type="spellEnd"/>
    </w:p>
    <w:p w14:paraId="64B4770D" w14:textId="35DA35F0" w:rsidR="00B00B31" w:rsidRDefault="00B00B31" w:rsidP="00B00B31">
      <w:pPr>
        <w:pStyle w:val="numeroitukappale"/>
        <w:rPr>
          <w:lang w:val="en-GB"/>
        </w:rPr>
      </w:pPr>
      <w:r>
        <w:rPr>
          <w:lang w:val="en-GB"/>
        </w:rPr>
        <w:t xml:space="preserve">Since </w:t>
      </w:r>
      <w:r w:rsidR="00C760E2">
        <w:rPr>
          <w:lang w:val="en-GB"/>
        </w:rPr>
        <w:t>January 2023</w:t>
      </w:r>
      <w:r>
        <w:rPr>
          <w:lang w:val="en-GB"/>
        </w:rPr>
        <w:t xml:space="preserve"> social and health care services as well as rescue services fall under the responsibility of wellbeing services counties, instead of municipalities. </w:t>
      </w:r>
    </w:p>
    <w:p w14:paraId="11F0945D" w14:textId="292DAB2E" w:rsidR="00B00B31" w:rsidRDefault="00B00B31" w:rsidP="00B00B31">
      <w:pPr>
        <w:pStyle w:val="numeroitukappale"/>
        <w:rPr>
          <w:lang w:val="en-GB"/>
        </w:rPr>
      </w:pPr>
      <w:r w:rsidRPr="00B00B31">
        <w:rPr>
          <w:lang w:val="en-GB"/>
        </w:rPr>
        <w:t xml:space="preserve">For the year 2023, the government reserved about 22.5 billion euros for </w:t>
      </w:r>
      <w:r>
        <w:rPr>
          <w:lang w:val="en-GB"/>
        </w:rPr>
        <w:t>wellbeing services counties,</w:t>
      </w:r>
      <w:r w:rsidRPr="00B00B31">
        <w:rPr>
          <w:lang w:val="en-GB"/>
        </w:rPr>
        <w:t xml:space="preserve"> and </w:t>
      </w:r>
      <w:r>
        <w:rPr>
          <w:lang w:val="en-GB"/>
        </w:rPr>
        <w:t xml:space="preserve">the proposal </w:t>
      </w:r>
      <w:r w:rsidRPr="00B00B31">
        <w:rPr>
          <w:lang w:val="en-GB"/>
        </w:rPr>
        <w:t xml:space="preserve">for 2024 </w:t>
      </w:r>
      <w:r>
        <w:rPr>
          <w:lang w:val="en-GB"/>
        </w:rPr>
        <w:t>is</w:t>
      </w:r>
      <w:r w:rsidRPr="00B00B31">
        <w:rPr>
          <w:lang w:val="en-GB"/>
        </w:rPr>
        <w:t xml:space="preserve"> about 24.6 billion euros.</w:t>
      </w:r>
    </w:p>
    <w:p w14:paraId="5FB270A4" w14:textId="75A89BCF" w:rsidR="00B00B31" w:rsidRPr="00A84FAB" w:rsidRDefault="00B00B31" w:rsidP="00B00B31">
      <w:pPr>
        <w:pStyle w:val="numeroitukappale"/>
        <w:rPr>
          <w:lang w:val="en-GB"/>
        </w:rPr>
      </w:pPr>
      <w:r>
        <w:rPr>
          <w:lang w:val="en-GB"/>
        </w:rPr>
        <w:t xml:space="preserve">As it is, the wellbeing services counties find themselves in serious financial difficulties and </w:t>
      </w:r>
      <w:r w:rsidRPr="00A84FAB">
        <w:rPr>
          <w:lang w:val="en-GB"/>
        </w:rPr>
        <w:t xml:space="preserve">they </w:t>
      </w:r>
      <w:r w:rsidR="00F52ADA">
        <w:rPr>
          <w:lang w:val="en-GB"/>
        </w:rPr>
        <w:t>are forced</w:t>
      </w:r>
      <w:r w:rsidRPr="00A84FAB">
        <w:rPr>
          <w:lang w:val="en-GB"/>
        </w:rPr>
        <w:t xml:space="preserve"> to cover their accumulated deficit of 1.2 billion euros </w:t>
      </w:r>
      <w:r>
        <w:rPr>
          <w:lang w:val="en-GB"/>
        </w:rPr>
        <w:t>in 2023</w:t>
      </w:r>
      <w:r w:rsidRPr="00A84FAB">
        <w:rPr>
          <w:lang w:val="en-GB"/>
        </w:rPr>
        <w:t xml:space="preserve"> by the end of 2026.</w:t>
      </w:r>
      <w:r>
        <w:rPr>
          <w:lang w:val="en-GB"/>
        </w:rPr>
        <w:t xml:space="preserve"> This will lead to cuts on all levels of services, including personnel.</w:t>
      </w:r>
    </w:p>
    <w:p w14:paraId="3E0EEA0B" w14:textId="0EAA4E70" w:rsidR="00C760E2" w:rsidRDefault="00C760E2" w:rsidP="00A84FAB">
      <w:pPr>
        <w:pStyle w:val="numeroitukappale"/>
        <w:rPr>
          <w:lang w:val="en-GB"/>
        </w:rPr>
      </w:pPr>
      <w:r>
        <w:rPr>
          <w:lang w:val="en-GB"/>
        </w:rPr>
        <w:t>As a result of the sta</w:t>
      </w:r>
      <w:r w:rsidRPr="00A84FAB">
        <w:rPr>
          <w:lang w:val="en-GB"/>
        </w:rPr>
        <w:t>te budget proposal</w:t>
      </w:r>
      <w:r>
        <w:rPr>
          <w:lang w:val="en-GB"/>
        </w:rPr>
        <w:t>, a</w:t>
      </w:r>
      <w:r w:rsidR="00F52ADA">
        <w:rPr>
          <w:lang w:val="en-GB"/>
        </w:rPr>
        <w:t xml:space="preserve">s an example, </w:t>
      </w:r>
      <w:r>
        <w:rPr>
          <w:lang w:val="en-GB"/>
        </w:rPr>
        <w:t xml:space="preserve">many service points, service types and the </w:t>
      </w:r>
      <w:r w:rsidR="005754C3">
        <w:rPr>
          <w:lang w:val="en-GB"/>
        </w:rPr>
        <w:t>availability</w:t>
      </w:r>
      <w:r>
        <w:rPr>
          <w:lang w:val="en-GB"/>
        </w:rPr>
        <w:t xml:space="preserve"> of services and personnel are being cut considerably all throughout the country.</w:t>
      </w:r>
    </w:p>
    <w:p w14:paraId="3A4A7ACE" w14:textId="18F9F92D" w:rsidR="00B00B31" w:rsidRPr="00C760E2" w:rsidRDefault="00A84FAB" w:rsidP="00C25E6D">
      <w:pPr>
        <w:pStyle w:val="numeroitukappale"/>
        <w:rPr>
          <w:lang w:val="en-GB"/>
        </w:rPr>
      </w:pPr>
      <w:r w:rsidRPr="00C760E2">
        <w:rPr>
          <w:lang w:val="en-GB"/>
        </w:rPr>
        <w:t>SERI support centres, who assist victims of sexual violence, function with the wellbeing services counties' funding</w:t>
      </w:r>
      <w:r w:rsidR="00B00B31" w:rsidRPr="00C760E2">
        <w:rPr>
          <w:lang w:val="en-GB"/>
        </w:rPr>
        <w:t xml:space="preserve">. It is unlikely that the SERI services will remain outside the necessary savings. </w:t>
      </w:r>
      <w:r w:rsidR="00C760E2">
        <w:rPr>
          <w:lang w:val="en-GB"/>
        </w:rPr>
        <w:t>T</w:t>
      </w:r>
      <w:r w:rsidR="00B00B31" w:rsidRPr="00C760E2">
        <w:rPr>
          <w:lang w:val="en-GB"/>
        </w:rPr>
        <w:t>he need for support is growing annually</w:t>
      </w:r>
      <w:r w:rsidR="00F52ADA" w:rsidRPr="00C760E2">
        <w:rPr>
          <w:lang w:val="en-GB"/>
        </w:rPr>
        <w:t xml:space="preserve"> and as it is, the services are not sufficient.</w:t>
      </w:r>
      <w:r w:rsidR="00057987" w:rsidRPr="00C760E2">
        <w:rPr>
          <w:lang w:val="en-GB"/>
        </w:rPr>
        <w:t xml:space="preserve"> The centres operate within hospitals and while hospitals are facing demands to save money and since the SERI funding is not earmarked for that specific purpose, it will be rather easy to diminish the funding.</w:t>
      </w:r>
    </w:p>
    <w:p w14:paraId="71B9275E" w14:textId="77777777" w:rsidR="00F52ADA" w:rsidRDefault="00F52ADA" w:rsidP="00A84FAB">
      <w:pPr>
        <w:pStyle w:val="numeroitukappale"/>
        <w:rPr>
          <w:lang w:val="en-GB"/>
        </w:rPr>
      </w:pPr>
      <w:r>
        <w:rPr>
          <w:lang w:val="en-GB"/>
        </w:rPr>
        <w:t>A solution for securing funding for operations c</w:t>
      </w:r>
      <w:r w:rsidR="00A84FAB" w:rsidRPr="00A84FAB">
        <w:rPr>
          <w:lang w:val="en-GB"/>
        </w:rPr>
        <w:t xml:space="preserve">ould be </w:t>
      </w:r>
      <w:r>
        <w:rPr>
          <w:lang w:val="en-GB"/>
        </w:rPr>
        <w:t xml:space="preserve">direct funding from state funds, in the same way the shelters are funded. However, there is no guarantees the cuts in the public funding will not reach this type of funding equally. </w:t>
      </w:r>
    </w:p>
    <w:p w14:paraId="6B011C7B" w14:textId="1DDA48F0" w:rsidR="00DF03B5" w:rsidRDefault="00F52ADA" w:rsidP="00A84FAB">
      <w:pPr>
        <w:pStyle w:val="numeroitukappale"/>
        <w:rPr>
          <w:lang w:val="en-GB"/>
        </w:rPr>
      </w:pPr>
      <w:r>
        <w:rPr>
          <w:lang w:val="en-GB"/>
        </w:rPr>
        <w:t xml:space="preserve">Currently all the services for prevention, </w:t>
      </w:r>
      <w:proofErr w:type="gramStart"/>
      <w:r>
        <w:rPr>
          <w:lang w:val="en-GB"/>
        </w:rPr>
        <w:t>assistance</w:t>
      </w:r>
      <w:proofErr w:type="gramEnd"/>
      <w:r>
        <w:rPr>
          <w:lang w:val="en-GB"/>
        </w:rPr>
        <w:t xml:space="preserve"> and services, listed by the Government in its report, are potentially facing cuts and access to rights in accordance with Istanbul Convention is in danger. </w:t>
      </w:r>
    </w:p>
    <w:p w14:paraId="1BD4B758" w14:textId="6F992BFE" w:rsidR="00332E34" w:rsidRDefault="00332E34" w:rsidP="00A84FAB">
      <w:pPr>
        <w:pStyle w:val="numeroitukappale"/>
        <w:rPr>
          <w:lang w:val="en-GB"/>
        </w:rPr>
      </w:pPr>
      <w:r>
        <w:rPr>
          <w:lang w:val="en-GB"/>
        </w:rPr>
        <w:t>See also below the cuts regarding the NGOs providing services and assistance.</w:t>
      </w:r>
    </w:p>
    <w:p w14:paraId="01C6C8CF" w14:textId="26C64087" w:rsidR="000A6DE3" w:rsidRPr="00C760E2" w:rsidRDefault="000A6DE3" w:rsidP="00C760E2">
      <w:pPr>
        <w:pStyle w:val="Otsikko1"/>
        <w:rPr>
          <w:sz w:val="22"/>
          <w:szCs w:val="20"/>
          <w:lang w:val="en-GB"/>
        </w:rPr>
      </w:pPr>
      <w:bookmarkStart w:id="12" w:name="_Toc153893383"/>
      <w:r w:rsidRPr="00C760E2">
        <w:rPr>
          <w:sz w:val="22"/>
          <w:szCs w:val="20"/>
          <w:lang w:val="en-GB"/>
        </w:rPr>
        <w:t>Part III: Emerging trends on violence against women and domestic violence</w:t>
      </w:r>
      <w:bookmarkEnd w:id="12"/>
    </w:p>
    <w:p w14:paraId="466B905F" w14:textId="77777777" w:rsidR="00B36ABE" w:rsidRPr="00C760E2" w:rsidRDefault="00B36ABE" w:rsidP="00C760E2">
      <w:pPr>
        <w:pStyle w:val="Otsikko2"/>
        <w:rPr>
          <w:sz w:val="22"/>
          <w:szCs w:val="22"/>
          <w:lang w:val="en-GB"/>
        </w:rPr>
      </w:pPr>
      <w:bookmarkStart w:id="13" w:name="_Toc153893384"/>
      <w:r w:rsidRPr="00C760E2">
        <w:rPr>
          <w:sz w:val="22"/>
          <w:szCs w:val="22"/>
          <w:lang w:val="en-GB"/>
        </w:rPr>
        <w:t xml:space="preserve">Paragraph b): emerging trends in domestic case law related to violence against </w:t>
      </w:r>
      <w:proofErr w:type="gramStart"/>
      <w:r w:rsidRPr="00C760E2">
        <w:rPr>
          <w:sz w:val="22"/>
          <w:szCs w:val="22"/>
          <w:lang w:val="en-GB"/>
        </w:rPr>
        <w:t>women</w:t>
      </w:r>
      <w:bookmarkEnd w:id="13"/>
      <w:proofErr w:type="gramEnd"/>
    </w:p>
    <w:p w14:paraId="1DA06D30" w14:textId="278E563E" w:rsidR="000A6DE3" w:rsidRPr="00C760E2" w:rsidRDefault="000A6DE3" w:rsidP="00C760E2">
      <w:pPr>
        <w:pStyle w:val="Otsikko3"/>
        <w:rPr>
          <w:sz w:val="22"/>
          <w:szCs w:val="22"/>
          <w:lang w:val="en-GB"/>
        </w:rPr>
      </w:pPr>
      <w:bookmarkStart w:id="14" w:name="_Toc153893385"/>
      <w:r w:rsidRPr="00C760E2">
        <w:rPr>
          <w:sz w:val="22"/>
          <w:szCs w:val="22"/>
          <w:lang w:val="en-GB"/>
        </w:rPr>
        <w:t>Investigation of sexual crimes and intimate partner violence</w:t>
      </w:r>
      <w:bookmarkEnd w:id="14"/>
    </w:p>
    <w:p w14:paraId="6F72C686" w14:textId="205951B6" w:rsidR="00001A9B" w:rsidRPr="0066245C" w:rsidRDefault="0059064F" w:rsidP="0059064F">
      <w:pPr>
        <w:pStyle w:val="numeroitukappale"/>
        <w:rPr>
          <w:lang w:val="en-GB"/>
        </w:rPr>
      </w:pPr>
      <w:r w:rsidRPr="0066245C">
        <w:rPr>
          <w:lang w:val="en-GB"/>
        </w:rPr>
        <w:t xml:space="preserve">In </w:t>
      </w:r>
      <w:hyperlink r:id="rId16" w:history="1">
        <w:r w:rsidRPr="0066245C">
          <w:rPr>
            <w:rStyle w:val="Hyperlinkki"/>
            <w:lang w:val="en-GB"/>
          </w:rPr>
          <w:t>November 2022 Deputy Chancellor of Justice</w:t>
        </w:r>
      </w:hyperlink>
      <w:r w:rsidRPr="0066245C">
        <w:rPr>
          <w:lang w:val="en-GB"/>
        </w:rPr>
        <w:t xml:space="preserve"> found, after having examined on his own initiative 77 pending or completed preliminary investigations of sexual crimes and intimate partner violence in the police, that numerous preliminary investigations of domestic violence and sexual crimes by the police departments of Eastern </w:t>
      </w:r>
      <w:proofErr w:type="spellStart"/>
      <w:r w:rsidRPr="0066245C">
        <w:rPr>
          <w:lang w:val="en-GB"/>
        </w:rPr>
        <w:t>Uusimaa</w:t>
      </w:r>
      <w:proofErr w:type="spellEnd"/>
      <w:r w:rsidRPr="0066245C">
        <w:rPr>
          <w:lang w:val="en-GB"/>
        </w:rPr>
        <w:t xml:space="preserve"> and Ostrobothnia had been unnecessarily delayed. </w:t>
      </w:r>
    </w:p>
    <w:p w14:paraId="13BF7FF6" w14:textId="3214391E" w:rsidR="0059064F" w:rsidRPr="0066245C" w:rsidRDefault="00A6661E" w:rsidP="0059064F">
      <w:pPr>
        <w:pStyle w:val="numeroitukappale"/>
        <w:rPr>
          <w:lang w:val="en-GB"/>
        </w:rPr>
      </w:pPr>
      <w:r w:rsidRPr="0066245C">
        <w:rPr>
          <w:lang w:val="en-GB"/>
        </w:rPr>
        <w:t>The right to prosecution had expired in several cases, the active investigation had been delayed or no investigative measures had been taken</w:t>
      </w:r>
      <w:r w:rsidR="00001A9B" w:rsidRPr="0066245C">
        <w:rPr>
          <w:lang w:val="en-GB"/>
        </w:rPr>
        <w:t xml:space="preserve"> at all</w:t>
      </w:r>
      <w:r w:rsidRPr="0066245C">
        <w:rPr>
          <w:lang w:val="en-GB"/>
        </w:rPr>
        <w:t>. The examination</w:t>
      </w:r>
      <w:r w:rsidR="0059064F" w:rsidRPr="0066245C">
        <w:rPr>
          <w:lang w:val="en-GB"/>
        </w:rPr>
        <w:t xml:space="preserve"> led to sanctions or other actions in 14 cases. This examination covered </w:t>
      </w:r>
      <w:r w:rsidRPr="0066245C">
        <w:rPr>
          <w:lang w:val="en-GB"/>
        </w:rPr>
        <w:t xml:space="preserve">all </w:t>
      </w:r>
      <w:r w:rsidR="0059064F" w:rsidRPr="0066245C">
        <w:rPr>
          <w:lang w:val="en-GB"/>
        </w:rPr>
        <w:t xml:space="preserve">11 police </w:t>
      </w:r>
      <w:r w:rsidR="00001A9B" w:rsidRPr="0066245C">
        <w:rPr>
          <w:lang w:val="en-GB"/>
        </w:rPr>
        <w:t>departments</w:t>
      </w:r>
      <w:r w:rsidRPr="0066245C">
        <w:rPr>
          <w:lang w:val="en-GB"/>
        </w:rPr>
        <w:t xml:space="preserve">, out of which few had </w:t>
      </w:r>
      <w:r w:rsidR="00001A9B" w:rsidRPr="0066245C">
        <w:rPr>
          <w:lang w:val="en-GB"/>
        </w:rPr>
        <w:t xml:space="preserve">severe </w:t>
      </w:r>
      <w:r w:rsidRPr="0066245C">
        <w:rPr>
          <w:lang w:val="en-GB"/>
        </w:rPr>
        <w:t>problems</w:t>
      </w:r>
      <w:r w:rsidR="00001A9B" w:rsidRPr="0066245C">
        <w:rPr>
          <w:lang w:val="en-GB"/>
        </w:rPr>
        <w:t xml:space="preserve"> in these cases.</w:t>
      </w:r>
    </w:p>
    <w:p w14:paraId="40E2D2C6" w14:textId="5A7E3F23" w:rsidR="00A6661E" w:rsidRPr="0066245C" w:rsidRDefault="00A6661E" w:rsidP="0059064F">
      <w:pPr>
        <w:pStyle w:val="numeroitukappale"/>
        <w:rPr>
          <w:lang w:val="en-GB"/>
        </w:rPr>
      </w:pPr>
      <w:r w:rsidRPr="0066245C">
        <w:rPr>
          <w:lang w:val="en-GB"/>
        </w:rPr>
        <w:t xml:space="preserve">Many of the problems were allegedly caused by the lack of resources. However, the Deputy Chancellor of Justice found that in many cases, the resources were </w:t>
      </w:r>
      <w:r w:rsidR="00001A9B" w:rsidRPr="0066245C">
        <w:rPr>
          <w:lang w:val="en-GB"/>
        </w:rPr>
        <w:t xml:space="preserve">poorly </w:t>
      </w:r>
      <w:r w:rsidRPr="0066245C">
        <w:rPr>
          <w:lang w:val="en-GB"/>
        </w:rPr>
        <w:t xml:space="preserve">organised and used, no monitoring of the progress had taken </w:t>
      </w:r>
      <w:proofErr w:type="gramStart"/>
      <w:r w:rsidRPr="0066245C">
        <w:rPr>
          <w:lang w:val="en-GB"/>
        </w:rPr>
        <w:t>place</w:t>
      </w:r>
      <w:proofErr w:type="gramEnd"/>
      <w:r w:rsidRPr="0066245C">
        <w:rPr>
          <w:lang w:val="en-GB"/>
        </w:rPr>
        <w:t xml:space="preserve"> or no monitoring system existed to begin with.</w:t>
      </w:r>
      <w:r w:rsidR="00001A9B" w:rsidRPr="0066245C">
        <w:rPr>
          <w:lang w:val="en-GB"/>
        </w:rPr>
        <w:t xml:space="preserve"> </w:t>
      </w:r>
    </w:p>
    <w:p w14:paraId="1D518826" w14:textId="0FC8A04E" w:rsidR="00A6661E" w:rsidRPr="0066245C" w:rsidRDefault="00A6661E" w:rsidP="00250587">
      <w:pPr>
        <w:pStyle w:val="numeroitukappale"/>
        <w:rPr>
          <w:lang w:val="en-GB"/>
        </w:rPr>
      </w:pPr>
      <w:r w:rsidRPr="0066245C">
        <w:rPr>
          <w:lang w:val="en-GB"/>
        </w:rPr>
        <w:t>The Deputy Chancellor of Justice emphasized that the preliminary investigation of sexual crimes and crimes involving intimate partner violence must be completed without delay in terms of the credibility of the criminal justice system, to implement criminal responsibility effectively and to respect the rights of victims.</w:t>
      </w:r>
      <w:r w:rsidR="00250587" w:rsidRPr="0066245C">
        <w:rPr>
          <w:lang w:val="en-GB"/>
        </w:rPr>
        <w:t xml:space="preserve"> This is not always the case. This also creates inequality between victims residing in different geographical locations. </w:t>
      </w:r>
    </w:p>
    <w:p w14:paraId="468E2C62" w14:textId="2359713F" w:rsidR="00001A9B" w:rsidRPr="0066245C" w:rsidRDefault="00001A9B" w:rsidP="00250587">
      <w:pPr>
        <w:pStyle w:val="numeroitukappale"/>
        <w:rPr>
          <w:lang w:val="en-GB"/>
        </w:rPr>
      </w:pPr>
      <w:r w:rsidRPr="0066245C">
        <w:rPr>
          <w:lang w:val="en-GB"/>
        </w:rPr>
        <w:t xml:space="preserve">it is clear that if the cases of domestic violence are not recognised by the police and noted down in the registers as such, the prosecution will not </w:t>
      </w:r>
      <w:proofErr w:type="gramStart"/>
      <w:r w:rsidRPr="0066245C">
        <w:rPr>
          <w:lang w:val="en-GB"/>
        </w:rPr>
        <w:t>happen</w:t>
      </w:r>
      <w:proofErr w:type="gramEnd"/>
      <w:r w:rsidRPr="0066245C">
        <w:rPr>
          <w:lang w:val="en-GB"/>
        </w:rPr>
        <w:t xml:space="preserve"> and the perpetrators will not be punished. Equally, if the reoccurring cases are not recognised, the cases will </w:t>
      </w:r>
      <w:r w:rsidR="00C5336C" w:rsidRPr="0066245C">
        <w:rPr>
          <w:lang w:val="en-GB"/>
        </w:rPr>
        <w:t xml:space="preserve">often </w:t>
      </w:r>
      <w:r w:rsidRPr="0066245C">
        <w:rPr>
          <w:lang w:val="en-GB"/>
        </w:rPr>
        <w:t xml:space="preserve">end up in mediation </w:t>
      </w:r>
      <w:r w:rsidR="00C5336C" w:rsidRPr="0066245C">
        <w:rPr>
          <w:lang w:val="en-GB"/>
        </w:rPr>
        <w:t xml:space="preserve">as singular cases </w:t>
      </w:r>
      <w:r w:rsidRPr="0066245C">
        <w:rPr>
          <w:lang w:val="en-GB"/>
        </w:rPr>
        <w:t xml:space="preserve">and never see the prosecution or punishment. The police </w:t>
      </w:r>
      <w:r w:rsidR="00C5336C" w:rsidRPr="0066245C">
        <w:rPr>
          <w:lang w:val="en-GB"/>
        </w:rPr>
        <w:t xml:space="preserve">therefore </w:t>
      </w:r>
      <w:proofErr w:type="gramStart"/>
      <w:r w:rsidRPr="0066245C">
        <w:rPr>
          <w:lang w:val="en-GB"/>
        </w:rPr>
        <w:t>is</w:t>
      </w:r>
      <w:proofErr w:type="gramEnd"/>
      <w:r w:rsidRPr="0066245C">
        <w:rPr>
          <w:lang w:val="en-GB"/>
        </w:rPr>
        <w:t xml:space="preserve"> in critical position to ensure the rights of the victims.</w:t>
      </w:r>
    </w:p>
    <w:p w14:paraId="47F5D226" w14:textId="20981ABF" w:rsidR="006A1796" w:rsidRPr="00AA10EA" w:rsidRDefault="00250587" w:rsidP="00250587">
      <w:pPr>
        <w:pStyle w:val="numeroitukappale"/>
        <w:rPr>
          <w:lang w:val="en-GB"/>
        </w:rPr>
      </w:pPr>
      <w:r w:rsidRPr="0066245C">
        <w:rPr>
          <w:lang w:val="en-US" w:eastAsia="zh-CN"/>
        </w:rPr>
        <w:t xml:space="preserve">As part of the problems in investigating cases of domestic violence is the insufficient ability to </w:t>
      </w:r>
      <w:proofErr w:type="spellStart"/>
      <w:r w:rsidRPr="0066245C">
        <w:rPr>
          <w:lang w:val="en-US" w:eastAsia="zh-CN"/>
        </w:rPr>
        <w:t>recogni</w:t>
      </w:r>
      <w:r w:rsidR="008A1A79" w:rsidRPr="0066245C">
        <w:rPr>
          <w:lang w:val="en-US" w:eastAsia="zh-CN"/>
        </w:rPr>
        <w:t>s</w:t>
      </w:r>
      <w:r w:rsidRPr="0066245C">
        <w:rPr>
          <w:lang w:val="en-US" w:eastAsia="zh-CN"/>
        </w:rPr>
        <w:t>e</w:t>
      </w:r>
      <w:proofErr w:type="spellEnd"/>
      <w:r w:rsidRPr="0066245C">
        <w:rPr>
          <w:lang w:val="en-US" w:eastAsia="zh-CN"/>
        </w:rPr>
        <w:t xml:space="preserve"> domestic violence, t</w:t>
      </w:r>
      <w:r w:rsidR="00DA49A6" w:rsidRPr="0066245C">
        <w:rPr>
          <w:lang w:val="en-US" w:eastAsia="zh-CN"/>
        </w:rPr>
        <w:t xml:space="preserve">he Human Rights Centre reiterates its earlier recommendation that Government should </w:t>
      </w:r>
      <w:r w:rsidRPr="0066245C">
        <w:rPr>
          <w:lang w:val="en-US" w:eastAsia="zh-CN"/>
        </w:rPr>
        <w:t>i</w:t>
      </w:r>
      <w:r w:rsidR="00DA49A6" w:rsidRPr="0066245C">
        <w:rPr>
          <w:lang w:val="en-US" w:eastAsia="zh-CN"/>
        </w:rPr>
        <w:t xml:space="preserve">ncrease for all age groups and professional fields human-rights-based training on how to </w:t>
      </w:r>
      <w:proofErr w:type="spellStart"/>
      <w:r w:rsidR="00DA49A6" w:rsidRPr="0066245C">
        <w:rPr>
          <w:lang w:val="en-US" w:eastAsia="zh-CN"/>
        </w:rPr>
        <w:t>recognise</w:t>
      </w:r>
      <w:proofErr w:type="spellEnd"/>
      <w:r w:rsidR="00DA49A6" w:rsidRPr="0066245C">
        <w:rPr>
          <w:lang w:val="en-US" w:eastAsia="zh-CN"/>
        </w:rPr>
        <w:t xml:space="preserve"> domestic violence and violence against women and how to help the victims. </w:t>
      </w:r>
      <w:r w:rsidRPr="0066245C">
        <w:rPr>
          <w:lang w:val="en-US" w:eastAsia="zh-CN"/>
        </w:rPr>
        <w:t>This is especially important when children or women with disabilities or older women are concerned</w:t>
      </w:r>
      <w:r w:rsidR="00E036EB" w:rsidRPr="0066245C">
        <w:rPr>
          <w:lang w:val="en-US" w:eastAsia="zh-CN"/>
        </w:rPr>
        <w:t xml:space="preserve"> and with regard police officers</w:t>
      </w:r>
      <w:r w:rsidR="00C5336C" w:rsidRPr="0066245C">
        <w:rPr>
          <w:lang w:val="en-US" w:eastAsia="zh-CN"/>
        </w:rPr>
        <w:t xml:space="preserve">, </w:t>
      </w:r>
      <w:proofErr w:type="gramStart"/>
      <w:r w:rsidR="00E036EB" w:rsidRPr="0066245C">
        <w:rPr>
          <w:lang w:val="en-US" w:eastAsia="zh-CN"/>
        </w:rPr>
        <w:t>prosecutors</w:t>
      </w:r>
      <w:proofErr w:type="gramEnd"/>
      <w:r w:rsidR="00C5336C" w:rsidRPr="0066245C">
        <w:rPr>
          <w:lang w:val="en-US" w:eastAsia="zh-CN"/>
        </w:rPr>
        <w:t xml:space="preserve"> and judges</w:t>
      </w:r>
      <w:r w:rsidR="00E036EB" w:rsidRPr="0066245C">
        <w:rPr>
          <w:lang w:val="en-US" w:eastAsia="zh-CN"/>
        </w:rPr>
        <w:t>.</w:t>
      </w:r>
    </w:p>
    <w:p w14:paraId="4A1F9C05" w14:textId="1CD15DC3" w:rsidR="00AA10EA" w:rsidRPr="00C760E2" w:rsidRDefault="00AA10EA" w:rsidP="00C760E2">
      <w:pPr>
        <w:pStyle w:val="Otsikko3"/>
        <w:rPr>
          <w:sz w:val="22"/>
          <w:szCs w:val="22"/>
          <w:lang w:val="en-GB"/>
        </w:rPr>
      </w:pPr>
      <w:bookmarkStart w:id="15" w:name="_Toc153893386"/>
      <w:r w:rsidRPr="00C760E2">
        <w:rPr>
          <w:sz w:val="22"/>
          <w:szCs w:val="22"/>
          <w:lang w:val="en-US" w:eastAsia="zh-CN"/>
        </w:rPr>
        <w:t>Accessibility of shelters</w:t>
      </w:r>
      <w:bookmarkEnd w:id="15"/>
    </w:p>
    <w:p w14:paraId="3957C04C" w14:textId="71684946" w:rsidR="00284147" w:rsidRDefault="00284147" w:rsidP="00250587">
      <w:pPr>
        <w:pStyle w:val="numeroitukappale"/>
        <w:rPr>
          <w:lang w:val="en-GB"/>
        </w:rPr>
      </w:pPr>
      <w:r>
        <w:rPr>
          <w:lang w:val="en-GB"/>
        </w:rPr>
        <w:t>In 2022-2023 the D</w:t>
      </w:r>
      <w:r w:rsidR="00AA10EA">
        <w:rPr>
          <w:lang w:val="en-GB"/>
        </w:rPr>
        <w:t xml:space="preserve">eputy Parliamentary Ombudsman examined a complaint on the insufficient accessibility </w:t>
      </w:r>
      <w:r w:rsidR="00904FB3">
        <w:rPr>
          <w:lang w:val="en-GB"/>
        </w:rPr>
        <w:t>in</w:t>
      </w:r>
      <w:r w:rsidR="00AA10EA">
        <w:rPr>
          <w:lang w:val="en-GB"/>
        </w:rPr>
        <w:t xml:space="preserve"> shelters for victims of violence. The complaint concerned wheelchair accessibility and </w:t>
      </w:r>
      <w:r>
        <w:rPr>
          <w:lang w:val="en-GB"/>
        </w:rPr>
        <w:t>monitoring of the requirements for accessibility in connection of funding</w:t>
      </w:r>
      <w:r w:rsidR="00904FB3">
        <w:rPr>
          <w:lang w:val="en-GB"/>
        </w:rPr>
        <w:t>, among other issues</w:t>
      </w:r>
      <w:r>
        <w:rPr>
          <w:lang w:val="en-GB"/>
        </w:rPr>
        <w:t>.</w:t>
      </w:r>
      <w:r w:rsidR="00AA10EA">
        <w:rPr>
          <w:lang w:val="en-GB"/>
        </w:rPr>
        <w:t xml:space="preserve"> </w:t>
      </w:r>
    </w:p>
    <w:p w14:paraId="0E76E479" w14:textId="391FD006" w:rsidR="00AA10EA" w:rsidRDefault="00AA10EA" w:rsidP="00250587">
      <w:pPr>
        <w:pStyle w:val="numeroitukappale"/>
        <w:rPr>
          <w:lang w:val="en-GB"/>
        </w:rPr>
      </w:pPr>
      <w:r>
        <w:rPr>
          <w:lang w:val="en-GB"/>
        </w:rPr>
        <w:t xml:space="preserve">The </w:t>
      </w:r>
      <w:r w:rsidR="00284147">
        <w:rPr>
          <w:lang w:val="en-GB"/>
        </w:rPr>
        <w:t>O</w:t>
      </w:r>
      <w:r>
        <w:rPr>
          <w:lang w:val="en-GB"/>
        </w:rPr>
        <w:t xml:space="preserve">mbudsman requested </w:t>
      </w:r>
      <w:r w:rsidR="00904FB3">
        <w:rPr>
          <w:lang w:val="en-GB"/>
        </w:rPr>
        <w:t xml:space="preserve">from the </w:t>
      </w:r>
      <w:r w:rsidR="00904FB3" w:rsidRPr="00904FB3">
        <w:rPr>
          <w:lang w:val="en-GB"/>
        </w:rPr>
        <w:t>Finnish Institute for Health and Welfare (THL)</w:t>
      </w:r>
      <w:r w:rsidR="00904FB3">
        <w:rPr>
          <w:lang w:val="en-GB"/>
        </w:rPr>
        <w:t xml:space="preserve"> </w:t>
      </w:r>
      <w:r>
        <w:rPr>
          <w:lang w:val="en-GB"/>
        </w:rPr>
        <w:t>detailed information on the guidance, development and evaluation of the shelters on the national level</w:t>
      </w:r>
      <w:r w:rsidR="00AF049D">
        <w:rPr>
          <w:lang w:val="en-GB"/>
        </w:rPr>
        <w:t xml:space="preserve">, requirements for the accessibility and the fulfilment of the requirements and rights of the persons with disabilities in general, actions taken to improve the implementation of the rights and </w:t>
      </w:r>
      <w:r w:rsidR="00904FB3">
        <w:rPr>
          <w:lang w:val="en-GB"/>
        </w:rPr>
        <w:t xml:space="preserve">information on the </w:t>
      </w:r>
      <w:r w:rsidR="00AF049D">
        <w:rPr>
          <w:lang w:val="en-GB"/>
        </w:rPr>
        <w:t>type of guidance or actions undertaken when problems in accessibility or equality are identified.</w:t>
      </w:r>
    </w:p>
    <w:p w14:paraId="7A6FA60F" w14:textId="6A22DD8F" w:rsidR="00DF03B5" w:rsidRPr="00DF03B5" w:rsidRDefault="00904FB3" w:rsidP="009D2EBA">
      <w:pPr>
        <w:pStyle w:val="numeroitukappale"/>
        <w:rPr>
          <w:lang w:val="en-GB"/>
        </w:rPr>
      </w:pPr>
      <w:r w:rsidRPr="00DF03B5">
        <w:rPr>
          <w:lang w:val="en-GB"/>
        </w:rPr>
        <w:t xml:space="preserve">In the </w:t>
      </w:r>
      <w:hyperlink r:id="rId17" w:history="1">
        <w:r w:rsidRPr="00DF03B5">
          <w:rPr>
            <w:rStyle w:val="Hyperlinkki"/>
            <w:lang w:val="en-GB"/>
          </w:rPr>
          <w:t>decision of July</w:t>
        </w:r>
        <w:r w:rsidR="0055782F" w:rsidRPr="00DF03B5">
          <w:rPr>
            <w:rStyle w:val="Hyperlinkki"/>
            <w:lang w:val="en-GB"/>
          </w:rPr>
          <w:t xml:space="preserve"> </w:t>
        </w:r>
        <w:r w:rsidRPr="00DF03B5">
          <w:rPr>
            <w:rStyle w:val="Hyperlinkki"/>
            <w:lang w:val="en-GB"/>
          </w:rPr>
          <w:t>2023</w:t>
        </w:r>
      </w:hyperlink>
      <w:r w:rsidRPr="00DF03B5">
        <w:rPr>
          <w:lang w:val="en-GB"/>
        </w:rPr>
        <w:t xml:space="preserve"> t</w:t>
      </w:r>
      <w:r w:rsidR="00AA10EA" w:rsidRPr="00DF03B5">
        <w:rPr>
          <w:lang w:val="en-GB"/>
        </w:rPr>
        <w:t>he Ombudsman</w:t>
      </w:r>
      <w:r w:rsidRPr="00DF03B5">
        <w:rPr>
          <w:lang w:val="en-GB"/>
        </w:rPr>
        <w:t xml:space="preserve"> found</w:t>
      </w:r>
      <w:r w:rsidR="00AA10EA" w:rsidRPr="00DF03B5">
        <w:rPr>
          <w:lang w:val="en-GB"/>
        </w:rPr>
        <w:t xml:space="preserve"> that </w:t>
      </w:r>
      <w:r w:rsidRPr="00DF03B5">
        <w:rPr>
          <w:lang w:val="en-GB"/>
        </w:rPr>
        <w:t>immediate improvement of the general accessibility situation of shelters and shelter services is necessary to ensure equal treatment of persons with disabilities and to safeguard the rights provided for in the law.</w:t>
      </w:r>
      <w:r w:rsidR="0055782F" w:rsidRPr="00DF03B5">
        <w:rPr>
          <w:lang w:val="en-GB"/>
        </w:rPr>
        <w:t xml:space="preserve"> </w:t>
      </w:r>
      <w:proofErr w:type="gramStart"/>
      <w:r w:rsidR="0055782F" w:rsidRPr="00DF03B5">
        <w:rPr>
          <w:lang w:val="en-GB"/>
        </w:rPr>
        <w:t>On the basis of</w:t>
      </w:r>
      <w:proofErr w:type="gramEnd"/>
      <w:r w:rsidR="0055782F" w:rsidRPr="00DF03B5">
        <w:rPr>
          <w:lang w:val="en-GB"/>
        </w:rPr>
        <w:t xml:space="preserve"> the Equality Act the provider of shelter services must make the appropriate and reasonable adjustments necessary in the individual cases, so that disabled persons can use the shelter services on an equal basis with others.</w:t>
      </w:r>
      <w:r w:rsidR="00DF03B5" w:rsidRPr="00DF03B5">
        <w:rPr>
          <w:lang w:val="en-GB"/>
        </w:rPr>
        <w:t xml:space="preserve"> In 2023 all shelters were scheduled to have accessible premises. </w:t>
      </w:r>
      <w:r w:rsidR="00DF03B5">
        <w:rPr>
          <w:lang w:val="en-GB"/>
        </w:rPr>
        <w:t>Nevertheless, t</w:t>
      </w:r>
      <w:r w:rsidR="00DF03B5" w:rsidRPr="00DF03B5">
        <w:rPr>
          <w:lang w:val="en-GB"/>
        </w:rPr>
        <w:t xml:space="preserve">he Ombudsman requested the Ministry for </w:t>
      </w:r>
      <w:r w:rsidR="00DF03B5">
        <w:rPr>
          <w:lang w:val="en-GB"/>
        </w:rPr>
        <w:t>S</w:t>
      </w:r>
      <w:r w:rsidR="00DF03B5" w:rsidRPr="00DF03B5">
        <w:rPr>
          <w:lang w:val="en-GB"/>
        </w:rPr>
        <w:t xml:space="preserve">ocial </w:t>
      </w:r>
      <w:r w:rsidR="00DF03B5">
        <w:rPr>
          <w:lang w:val="en-GB"/>
        </w:rPr>
        <w:t>A</w:t>
      </w:r>
      <w:r w:rsidR="00DF03B5" w:rsidRPr="00DF03B5">
        <w:rPr>
          <w:lang w:val="en-GB"/>
        </w:rPr>
        <w:t xml:space="preserve">ffairs and </w:t>
      </w:r>
      <w:r w:rsidR="00DF03B5">
        <w:rPr>
          <w:lang w:val="en-GB"/>
        </w:rPr>
        <w:t>H</w:t>
      </w:r>
      <w:r w:rsidR="00DF03B5" w:rsidRPr="00DF03B5">
        <w:rPr>
          <w:lang w:val="en-GB"/>
        </w:rPr>
        <w:t xml:space="preserve">ealth to give its </w:t>
      </w:r>
      <w:r w:rsidR="00DF03B5">
        <w:rPr>
          <w:lang w:val="en-GB"/>
        </w:rPr>
        <w:t>view</w:t>
      </w:r>
      <w:r w:rsidR="00DF03B5" w:rsidRPr="00DF03B5">
        <w:rPr>
          <w:lang w:val="en-GB"/>
        </w:rPr>
        <w:t xml:space="preserve"> on the accessibility situation of shelters and the measures taken to ensure the accessibility and accessibility of shelter services</w:t>
      </w:r>
      <w:r w:rsidR="00DF03B5">
        <w:rPr>
          <w:lang w:val="en-GB"/>
        </w:rPr>
        <w:t xml:space="preserve"> by the end of January 2024.</w:t>
      </w:r>
    </w:p>
    <w:p w14:paraId="6E91E701" w14:textId="7D71741B" w:rsidR="00115B73" w:rsidRPr="00C760E2" w:rsidRDefault="00B36ABE" w:rsidP="00C760E2">
      <w:pPr>
        <w:pStyle w:val="Otsikko2"/>
        <w:rPr>
          <w:sz w:val="22"/>
          <w:szCs w:val="22"/>
          <w:lang w:val="en-GB"/>
        </w:rPr>
      </w:pPr>
      <w:bookmarkStart w:id="16" w:name="_Toc153893387"/>
      <w:r w:rsidRPr="00C760E2">
        <w:rPr>
          <w:sz w:val="22"/>
          <w:szCs w:val="22"/>
          <w:lang w:val="en-GB"/>
        </w:rPr>
        <w:t>Paragraph c): Emerging trends in the allocation of funding and budgeting by your state authorities</w:t>
      </w:r>
      <w:bookmarkEnd w:id="16"/>
    </w:p>
    <w:p w14:paraId="4309C87F" w14:textId="6FF699A6" w:rsidR="00115B73" w:rsidRPr="005754C3" w:rsidRDefault="005754C3" w:rsidP="005754C3">
      <w:pPr>
        <w:pStyle w:val="Otsikko3"/>
        <w:rPr>
          <w:sz w:val="22"/>
          <w:szCs w:val="22"/>
          <w:lang w:val="en-GB"/>
        </w:rPr>
      </w:pPr>
      <w:bookmarkStart w:id="17" w:name="_Toc153893388"/>
      <w:r w:rsidRPr="005754C3">
        <w:rPr>
          <w:sz w:val="22"/>
          <w:szCs w:val="22"/>
          <w:lang w:val="en-GB"/>
        </w:rPr>
        <w:t>General overall funding</w:t>
      </w:r>
      <w:bookmarkEnd w:id="17"/>
    </w:p>
    <w:p w14:paraId="6F764824" w14:textId="347CFDD0" w:rsidR="00115B73" w:rsidRDefault="00115B73" w:rsidP="00115B73">
      <w:pPr>
        <w:pStyle w:val="numeroitukappale"/>
        <w:rPr>
          <w:lang w:val="en-GB"/>
        </w:rPr>
      </w:pPr>
      <w:r>
        <w:rPr>
          <w:lang w:val="en-GB"/>
        </w:rPr>
        <w:t>T</w:t>
      </w:r>
      <w:r w:rsidRPr="00115B73">
        <w:rPr>
          <w:lang w:val="en-GB"/>
        </w:rPr>
        <w:t xml:space="preserve">he </w:t>
      </w:r>
      <w:r>
        <w:rPr>
          <w:lang w:val="en-GB"/>
        </w:rPr>
        <w:t xml:space="preserve">full </w:t>
      </w:r>
      <w:r w:rsidRPr="00115B73">
        <w:rPr>
          <w:lang w:val="en-GB"/>
        </w:rPr>
        <w:t xml:space="preserve">extent of violence against women is not </w:t>
      </w:r>
      <w:r>
        <w:rPr>
          <w:lang w:val="en-GB"/>
        </w:rPr>
        <w:t xml:space="preserve">recognised nor visible </w:t>
      </w:r>
      <w:r w:rsidRPr="00115B73">
        <w:rPr>
          <w:lang w:val="en-GB"/>
        </w:rPr>
        <w:t xml:space="preserve">in </w:t>
      </w:r>
      <w:r w:rsidR="00057987">
        <w:rPr>
          <w:lang w:val="en-GB"/>
        </w:rPr>
        <w:t xml:space="preserve">Governmental </w:t>
      </w:r>
      <w:r w:rsidRPr="00115B73">
        <w:rPr>
          <w:lang w:val="en-GB"/>
        </w:rPr>
        <w:t xml:space="preserve">decision-making. In the financial calculations of the </w:t>
      </w:r>
      <w:r w:rsidR="00057987">
        <w:rPr>
          <w:lang w:val="en-GB"/>
        </w:rPr>
        <w:t>wellbeing service counties</w:t>
      </w:r>
      <w:r w:rsidRPr="00115B73">
        <w:rPr>
          <w:lang w:val="en-GB"/>
        </w:rPr>
        <w:t xml:space="preserve">, </w:t>
      </w:r>
      <w:r w:rsidR="00057987">
        <w:rPr>
          <w:lang w:val="en-GB"/>
        </w:rPr>
        <w:t xml:space="preserve">work against violence is not specified nor funded as such. This despite the fact that according to </w:t>
      </w:r>
      <w:hyperlink r:id="rId18" w:history="1">
        <w:r w:rsidR="00057987" w:rsidRPr="00057987">
          <w:rPr>
            <w:rStyle w:val="Hyperlinkki"/>
            <w:lang w:val="en-GB"/>
          </w:rPr>
          <w:t>a study by the National Institute of Health and Welfare</w:t>
        </w:r>
      </w:hyperlink>
      <w:r w:rsidR="00057987">
        <w:rPr>
          <w:lang w:val="en-GB"/>
        </w:rPr>
        <w:t xml:space="preserve"> </w:t>
      </w:r>
      <w:r w:rsidRPr="00115B73">
        <w:rPr>
          <w:lang w:val="en-GB"/>
        </w:rPr>
        <w:t xml:space="preserve">the additional costs of physical domestic violence against women alone in health care </w:t>
      </w:r>
      <w:r w:rsidR="00057987">
        <w:rPr>
          <w:lang w:val="en-GB"/>
        </w:rPr>
        <w:t>is</w:t>
      </w:r>
      <w:r w:rsidRPr="00115B73">
        <w:rPr>
          <w:lang w:val="en-GB"/>
        </w:rPr>
        <w:t xml:space="preserve"> 150 million euros per year (THL 2022). In addition, victims use social services and legal services </w:t>
      </w:r>
      <w:r w:rsidR="00057987">
        <w:rPr>
          <w:lang w:val="en-GB"/>
        </w:rPr>
        <w:t>more often</w:t>
      </w:r>
      <w:r w:rsidRPr="00115B73">
        <w:rPr>
          <w:lang w:val="en-GB"/>
        </w:rPr>
        <w:t xml:space="preserve"> than the </w:t>
      </w:r>
      <w:r w:rsidR="00057987">
        <w:rPr>
          <w:lang w:val="en-GB"/>
        </w:rPr>
        <w:t>average</w:t>
      </w:r>
      <w:r w:rsidRPr="00115B73">
        <w:rPr>
          <w:lang w:val="en-GB"/>
        </w:rPr>
        <w:t xml:space="preserve"> population.</w:t>
      </w:r>
      <w:r w:rsidR="00057987">
        <w:rPr>
          <w:lang w:val="en-GB"/>
        </w:rPr>
        <w:t xml:space="preserve"> This fact remains outside the budgetary planning.</w:t>
      </w:r>
    </w:p>
    <w:p w14:paraId="0A163A45" w14:textId="672C8516" w:rsidR="005754C3" w:rsidRPr="005754C3" w:rsidRDefault="005754C3" w:rsidP="005754C3">
      <w:pPr>
        <w:pStyle w:val="Otsikko3"/>
        <w:rPr>
          <w:sz w:val="22"/>
          <w:szCs w:val="22"/>
          <w:lang w:val="en-GB"/>
        </w:rPr>
      </w:pPr>
      <w:bookmarkStart w:id="18" w:name="_Toc153893389"/>
      <w:r w:rsidRPr="005754C3">
        <w:rPr>
          <w:sz w:val="22"/>
          <w:szCs w:val="22"/>
          <w:lang w:val="en-GB"/>
        </w:rPr>
        <w:t>Funding of the NGOs</w:t>
      </w:r>
      <w:bookmarkEnd w:id="18"/>
    </w:p>
    <w:p w14:paraId="58502109" w14:textId="745F60EC" w:rsidR="00332E34" w:rsidRDefault="00241F49" w:rsidP="00241F49">
      <w:pPr>
        <w:pStyle w:val="numeroitukappale"/>
        <w:rPr>
          <w:lang w:val="en-GB"/>
        </w:rPr>
      </w:pPr>
      <w:r>
        <w:rPr>
          <w:lang w:val="en-GB"/>
        </w:rPr>
        <w:t>T</w:t>
      </w:r>
      <w:r w:rsidRPr="008D6630">
        <w:rPr>
          <w:lang w:val="en-GB"/>
        </w:rPr>
        <w:t xml:space="preserve">he current practice of providing public funding </w:t>
      </w:r>
      <w:r>
        <w:rPr>
          <w:lang w:val="en-GB"/>
        </w:rPr>
        <w:t>for n</w:t>
      </w:r>
      <w:r w:rsidR="00115B73">
        <w:rPr>
          <w:lang w:val="en-GB"/>
        </w:rPr>
        <w:t xml:space="preserve">on-governmental </w:t>
      </w:r>
      <w:r w:rsidR="00115B73" w:rsidRPr="00115B73">
        <w:rPr>
          <w:lang w:val="en-GB"/>
        </w:rPr>
        <w:t>organi</w:t>
      </w:r>
      <w:r w:rsidR="006C5A47">
        <w:rPr>
          <w:lang w:val="en-GB"/>
        </w:rPr>
        <w:t>s</w:t>
      </w:r>
      <w:r w:rsidR="00115B73" w:rsidRPr="00115B73">
        <w:rPr>
          <w:lang w:val="en-GB"/>
        </w:rPr>
        <w:t xml:space="preserve">ations </w:t>
      </w:r>
      <w:r w:rsidRPr="008D6630">
        <w:rPr>
          <w:lang w:val="en-GB"/>
        </w:rPr>
        <w:t xml:space="preserve">on a project-by-project </w:t>
      </w:r>
      <w:r>
        <w:rPr>
          <w:lang w:val="en-GB"/>
        </w:rPr>
        <w:t xml:space="preserve">or annual </w:t>
      </w:r>
      <w:r w:rsidRPr="008D6630">
        <w:rPr>
          <w:lang w:val="en-GB"/>
        </w:rPr>
        <w:t>basis is not sustainable</w:t>
      </w:r>
      <w:r>
        <w:rPr>
          <w:lang w:val="en-GB"/>
        </w:rPr>
        <w:t>. NGOs</w:t>
      </w:r>
      <w:r w:rsidRPr="00115B73">
        <w:rPr>
          <w:lang w:val="en-GB"/>
        </w:rPr>
        <w:t xml:space="preserve"> </w:t>
      </w:r>
      <w:r w:rsidR="00115B73" w:rsidRPr="00115B73">
        <w:rPr>
          <w:lang w:val="en-GB"/>
        </w:rPr>
        <w:t>are responsible for a significant part of services</w:t>
      </w:r>
      <w:r>
        <w:rPr>
          <w:lang w:val="en-GB"/>
        </w:rPr>
        <w:t>, especially low-threshold services,</w:t>
      </w:r>
      <w:r w:rsidR="00115B73">
        <w:rPr>
          <w:lang w:val="en-GB"/>
        </w:rPr>
        <w:t xml:space="preserve"> for victims of violence, </w:t>
      </w:r>
      <w:r w:rsidR="006C5A47">
        <w:rPr>
          <w:lang w:val="en-GB"/>
        </w:rPr>
        <w:t xml:space="preserve">for training and preventive actions, </w:t>
      </w:r>
      <w:r w:rsidR="00115B73">
        <w:rPr>
          <w:lang w:val="en-GB"/>
        </w:rPr>
        <w:t>among others</w:t>
      </w:r>
      <w:r w:rsidR="00115B73" w:rsidRPr="00115B73">
        <w:rPr>
          <w:lang w:val="en-GB"/>
        </w:rPr>
        <w:t xml:space="preserve">. </w:t>
      </w:r>
    </w:p>
    <w:p w14:paraId="308EA3A8" w14:textId="6239A3DC" w:rsidR="00241F49" w:rsidRDefault="00241F49" w:rsidP="00241F49">
      <w:pPr>
        <w:pStyle w:val="numeroitukappale"/>
        <w:rPr>
          <w:lang w:val="en-GB"/>
        </w:rPr>
      </w:pPr>
      <w:r w:rsidRPr="00615803">
        <w:rPr>
          <w:lang w:val="en-GB"/>
        </w:rPr>
        <w:t>This funding model provides little time for organi</w:t>
      </w:r>
      <w:r>
        <w:rPr>
          <w:lang w:val="en-GB"/>
        </w:rPr>
        <w:t>s</w:t>
      </w:r>
      <w:r w:rsidRPr="00615803">
        <w:rPr>
          <w:lang w:val="en-GB"/>
        </w:rPr>
        <w:t>ations</w:t>
      </w:r>
      <w:r>
        <w:rPr>
          <w:lang w:val="en-GB"/>
        </w:rPr>
        <w:t xml:space="preserve"> for improving the quality of their services to meet the needs of the victims</w:t>
      </w:r>
      <w:r w:rsidRPr="00615803">
        <w:rPr>
          <w:lang w:val="en-GB"/>
        </w:rPr>
        <w:t>, and it also creates uncertainty as funding can be cut off at any time, potentially resulting in the cessation of services. This is a concerning issue that requires attention.</w:t>
      </w:r>
    </w:p>
    <w:p w14:paraId="2B1ADBF6" w14:textId="2246887D" w:rsidR="00115B73" w:rsidRDefault="006C5A47" w:rsidP="00115B73">
      <w:pPr>
        <w:pStyle w:val="numeroitukappale"/>
        <w:rPr>
          <w:lang w:val="en-GB"/>
        </w:rPr>
      </w:pPr>
      <w:r>
        <w:rPr>
          <w:lang w:val="en-GB"/>
        </w:rPr>
        <w:t>C</w:t>
      </w:r>
      <w:r w:rsidR="00115B73">
        <w:rPr>
          <w:lang w:val="en-GB"/>
        </w:rPr>
        <w:t>urrently</w:t>
      </w:r>
      <w:r>
        <w:rPr>
          <w:lang w:val="en-GB"/>
        </w:rPr>
        <w:t>, due to planned and already executed Gover</w:t>
      </w:r>
      <w:r w:rsidR="00EE28B0">
        <w:rPr>
          <w:lang w:val="en-GB"/>
        </w:rPr>
        <w:t>n</w:t>
      </w:r>
      <w:r>
        <w:rPr>
          <w:lang w:val="en-GB"/>
        </w:rPr>
        <w:t>mental cuts in funding</w:t>
      </w:r>
      <w:r w:rsidR="00EE28B0">
        <w:rPr>
          <w:lang w:val="en-GB"/>
        </w:rPr>
        <w:t xml:space="preserve"> and </w:t>
      </w:r>
      <w:r>
        <w:rPr>
          <w:lang w:val="en-GB"/>
        </w:rPr>
        <w:t xml:space="preserve">changes in </w:t>
      </w:r>
      <w:r w:rsidR="00EE28B0">
        <w:rPr>
          <w:lang w:val="en-GB"/>
        </w:rPr>
        <w:t xml:space="preserve">general </w:t>
      </w:r>
      <w:r>
        <w:rPr>
          <w:lang w:val="en-GB"/>
        </w:rPr>
        <w:t xml:space="preserve">funding structures </w:t>
      </w:r>
      <w:r w:rsidR="00115B73">
        <w:rPr>
          <w:lang w:val="en-GB"/>
        </w:rPr>
        <w:t>funding for the NGOs</w:t>
      </w:r>
      <w:r w:rsidR="00115B73" w:rsidRPr="00115B73">
        <w:rPr>
          <w:lang w:val="en-GB"/>
        </w:rPr>
        <w:t xml:space="preserve"> </w:t>
      </w:r>
      <w:r w:rsidR="00115B73">
        <w:rPr>
          <w:lang w:val="en-GB"/>
        </w:rPr>
        <w:t xml:space="preserve">is at risk. This will mean uncertain times for the services provided and at least harder access to services and assistance for the victims of violence. </w:t>
      </w:r>
    </w:p>
    <w:p w14:paraId="083850F8" w14:textId="7386EF84" w:rsidR="00B36ABE" w:rsidRPr="00C760E2" w:rsidRDefault="00B36ABE" w:rsidP="00C760E2">
      <w:pPr>
        <w:pStyle w:val="Otsikko2"/>
        <w:rPr>
          <w:sz w:val="22"/>
          <w:szCs w:val="22"/>
          <w:lang w:val="en-GB"/>
        </w:rPr>
      </w:pPr>
      <w:bookmarkStart w:id="19" w:name="_Toc153893390"/>
      <w:r w:rsidRPr="00C760E2">
        <w:rPr>
          <w:sz w:val="22"/>
          <w:szCs w:val="22"/>
          <w:lang w:val="en-GB"/>
        </w:rPr>
        <w:t xml:space="preserve">Paragraph e): Emerging trends related to access to asylum and international protection for women victims of violence against </w:t>
      </w:r>
      <w:proofErr w:type="gramStart"/>
      <w:r w:rsidRPr="00C760E2">
        <w:rPr>
          <w:sz w:val="22"/>
          <w:szCs w:val="22"/>
          <w:lang w:val="en-GB"/>
        </w:rPr>
        <w:t>women</w:t>
      </w:r>
      <w:bookmarkEnd w:id="19"/>
      <w:proofErr w:type="gramEnd"/>
      <w:r w:rsidRPr="00C760E2">
        <w:rPr>
          <w:sz w:val="22"/>
          <w:szCs w:val="22"/>
          <w:lang w:val="en-GB"/>
        </w:rPr>
        <w:t xml:space="preserve"> </w:t>
      </w:r>
    </w:p>
    <w:p w14:paraId="2260C04D" w14:textId="046AD507" w:rsidR="000A6DE3" w:rsidRPr="00C760E2" w:rsidRDefault="000A6DE3" w:rsidP="00C760E2">
      <w:pPr>
        <w:pStyle w:val="Otsikko3"/>
        <w:rPr>
          <w:sz w:val="22"/>
          <w:szCs w:val="22"/>
          <w:lang w:val="en-GB"/>
        </w:rPr>
      </w:pPr>
      <w:bookmarkStart w:id="20" w:name="_Toc153893391"/>
      <w:r w:rsidRPr="00C760E2">
        <w:rPr>
          <w:sz w:val="22"/>
          <w:szCs w:val="22"/>
          <w:lang w:val="en-GB"/>
        </w:rPr>
        <w:t>Revoking of residence permit</w:t>
      </w:r>
      <w:r w:rsidR="00B36ABE" w:rsidRPr="00C760E2">
        <w:rPr>
          <w:sz w:val="22"/>
          <w:szCs w:val="22"/>
          <w:lang w:val="en-GB"/>
        </w:rPr>
        <w:t>s</w:t>
      </w:r>
      <w:bookmarkEnd w:id="20"/>
    </w:p>
    <w:p w14:paraId="56F97A2C" w14:textId="19AC78AE" w:rsidR="000A6DE3" w:rsidRPr="000A6DE3" w:rsidRDefault="000A6DE3" w:rsidP="000A6DE3">
      <w:pPr>
        <w:pStyle w:val="numeroitukappale"/>
        <w:rPr>
          <w:lang w:val="en-GB"/>
        </w:rPr>
      </w:pPr>
      <w:r w:rsidRPr="000A6DE3">
        <w:rPr>
          <w:lang w:val="en-GB"/>
        </w:rPr>
        <w:t xml:space="preserve">On 21 November 2023, the </w:t>
      </w:r>
      <w:hyperlink r:id="rId19" w:history="1">
        <w:r w:rsidRPr="0066245C">
          <w:rPr>
            <w:rStyle w:val="Hyperlinkki"/>
            <w:lang w:val="en-GB"/>
          </w:rPr>
          <w:t>Supreme Administrative Court</w:t>
        </w:r>
      </w:hyperlink>
      <w:r w:rsidRPr="000A6DE3">
        <w:rPr>
          <w:lang w:val="en-GB"/>
        </w:rPr>
        <w:t xml:space="preserve"> (KHO) overturned the decision to revoke the residence permit of a foreigner who </w:t>
      </w:r>
      <w:r>
        <w:rPr>
          <w:lang w:val="en-GB"/>
        </w:rPr>
        <w:t>no longer lived</w:t>
      </w:r>
      <w:r w:rsidRPr="000A6DE3">
        <w:rPr>
          <w:lang w:val="en-GB"/>
        </w:rPr>
        <w:t xml:space="preserve"> with h</w:t>
      </w:r>
      <w:r>
        <w:rPr>
          <w:lang w:val="en-GB"/>
        </w:rPr>
        <w:t>er</w:t>
      </w:r>
      <w:r w:rsidRPr="000A6DE3">
        <w:rPr>
          <w:lang w:val="en-GB"/>
        </w:rPr>
        <w:t xml:space="preserve"> children </w:t>
      </w:r>
      <w:r>
        <w:rPr>
          <w:lang w:val="en-GB"/>
        </w:rPr>
        <w:t>together with</w:t>
      </w:r>
      <w:r w:rsidRPr="000A6DE3">
        <w:rPr>
          <w:lang w:val="en-GB"/>
        </w:rPr>
        <w:t xml:space="preserve"> h</w:t>
      </w:r>
      <w:r>
        <w:rPr>
          <w:lang w:val="en-GB"/>
        </w:rPr>
        <w:t>er</w:t>
      </w:r>
      <w:r w:rsidRPr="000A6DE3">
        <w:rPr>
          <w:lang w:val="en-GB"/>
        </w:rPr>
        <w:t xml:space="preserve"> spouse who had received asylum</w:t>
      </w:r>
      <w:r w:rsidR="0066245C">
        <w:rPr>
          <w:lang w:val="en-GB"/>
        </w:rPr>
        <w:t xml:space="preserve"> originally</w:t>
      </w:r>
      <w:r>
        <w:rPr>
          <w:lang w:val="en-GB"/>
        </w:rPr>
        <w:t xml:space="preserve"> </w:t>
      </w:r>
      <w:r w:rsidR="0066245C">
        <w:rPr>
          <w:lang w:val="en-GB"/>
        </w:rPr>
        <w:t>(case of family reunification)</w:t>
      </w:r>
      <w:r w:rsidRPr="000A6DE3">
        <w:rPr>
          <w:lang w:val="en-GB"/>
        </w:rPr>
        <w:t>.</w:t>
      </w:r>
    </w:p>
    <w:p w14:paraId="568F475F" w14:textId="28B93ED3" w:rsidR="0066245C" w:rsidRDefault="000A6DE3" w:rsidP="000A6DE3">
      <w:pPr>
        <w:pStyle w:val="numeroitukappale"/>
        <w:rPr>
          <w:lang w:val="en-GB"/>
        </w:rPr>
      </w:pPr>
      <w:r w:rsidRPr="000A6DE3">
        <w:rPr>
          <w:lang w:val="en-GB"/>
        </w:rPr>
        <w:t>The Finnish Immigration Service (</w:t>
      </w:r>
      <w:r>
        <w:rPr>
          <w:lang w:val="en-GB"/>
        </w:rPr>
        <w:t>MIGRI</w:t>
      </w:r>
      <w:r w:rsidRPr="000A6DE3">
        <w:rPr>
          <w:lang w:val="en-GB"/>
        </w:rPr>
        <w:t xml:space="preserve">) </w:t>
      </w:r>
      <w:r w:rsidR="0066245C">
        <w:rPr>
          <w:lang w:val="en-GB"/>
        </w:rPr>
        <w:t>cancelled</w:t>
      </w:r>
      <w:r w:rsidRPr="000A6DE3">
        <w:rPr>
          <w:lang w:val="en-GB"/>
        </w:rPr>
        <w:t xml:space="preserve"> the residence permits of family members when the family no longer lived at the same address. </w:t>
      </w:r>
    </w:p>
    <w:p w14:paraId="3BD0D3B5" w14:textId="4F864FEF" w:rsidR="000A6DE3" w:rsidRPr="000A6DE3" w:rsidRDefault="000A6DE3" w:rsidP="000A6DE3">
      <w:pPr>
        <w:pStyle w:val="numeroitukappale"/>
        <w:rPr>
          <w:lang w:val="en-GB"/>
        </w:rPr>
      </w:pPr>
      <w:r w:rsidRPr="000A6DE3">
        <w:rPr>
          <w:lang w:val="en-GB"/>
        </w:rPr>
        <w:t>The holder of the residence permit had stated that the reason for the end of the family bond was the violence directed at h</w:t>
      </w:r>
      <w:r w:rsidR="0066245C">
        <w:rPr>
          <w:lang w:val="en-GB"/>
        </w:rPr>
        <w:t>er</w:t>
      </w:r>
      <w:r w:rsidRPr="000A6DE3">
        <w:rPr>
          <w:lang w:val="en-GB"/>
        </w:rPr>
        <w:t xml:space="preserve"> by his spouse. The asylum seeker had been imprisoned in Finland in the early 2020s. When he was released from prison in May 2020, the rest of the family no longer lived at the same address as him. The rest of the family had, among other things, lived in a shelter, and they had been included in the </w:t>
      </w:r>
      <w:r w:rsidR="0066245C">
        <w:rPr>
          <w:lang w:val="en-GB"/>
        </w:rPr>
        <w:t xml:space="preserve">assistance </w:t>
      </w:r>
      <w:r w:rsidRPr="000A6DE3">
        <w:rPr>
          <w:lang w:val="en-GB"/>
        </w:rPr>
        <w:t>system for victims of human trafficking.</w:t>
      </w:r>
    </w:p>
    <w:p w14:paraId="39B77316" w14:textId="45F03C9F" w:rsidR="0066245C" w:rsidRPr="0066245C" w:rsidRDefault="000A6DE3" w:rsidP="0066245C">
      <w:pPr>
        <w:pStyle w:val="numeroitukappale"/>
        <w:rPr>
          <w:lang w:val="en-GB"/>
        </w:rPr>
      </w:pPr>
      <w:r w:rsidRPr="0066245C">
        <w:rPr>
          <w:lang w:val="en-GB"/>
        </w:rPr>
        <w:t>The Supreme Administrative Court assessed that the conditions for granting a permit in § 54 subsection 7 of the Aliens Act (</w:t>
      </w:r>
      <w:r w:rsidRPr="0066245C">
        <w:rPr>
          <w:i/>
          <w:iCs/>
          <w:lang w:val="en-GB"/>
        </w:rPr>
        <w:t>a residence permit can be granted to a foreigner after the end of the family bond, if the person's situation is particularly difficult due to the violence directed at him by his spouse and denying the permit would be unreasonable</w:t>
      </w:r>
      <w:r w:rsidRPr="0066245C">
        <w:rPr>
          <w:lang w:val="en-GB"/>
        </w:rPr>
        <w:t>) were thus functionally connected to the consideration of revoking the permit, that the provision had to be taken into account when cance</w:t>
      </w:r>
      <w:r w:rsidR="00057987">
        <w:rPr>
          <w:lang w:val="en-GB"/>
        </w:rPr>
        <w:t>l</w:t>
      </w:r>
      <w:r w:rsidRPr="0066245C">
        <w:rPr>
          <w:lang w:val="en-GB"/>
        </w:rPr>
        <w:t xml:space="preserve">ling a permit on the authority's initiative. </w:t>
      </w:r>
    </w:p>
    <w:p w14:paraId="3E146CE7" w14:textId="2AC7ECE8" w:rsidR="00332E34" w:rsidRDefault="000A6DE3" w:rsidP="00332E34">
      <w:pPr>
        <w:pStyle w:val="numeroitukappale"/>
        <w:rPr>
          <w:lang w:val="en-GB"/>
        </w:rPr>
      </w:pPr>
      <w:r w:rsidRPr="0066245C">
        <w:rPr>
          <w:lang w:val="en-GB"/>
        </w:rPr>
        <w:t>Under the circumstances of the case, the Supreme Administrative Court considered that the Immigration Office had not had to cancel the residence permit at the time of decision-making. The decisions of the Immigration Office and the Administrative Court were overturned.</w:t>
      </w:r>
      <w:r w:rsidR="0066245C" w:rsidRPr="0066245C">
        <w:rPr>
          <w:lang w:val="en-GB"/>
        </w:rPr>
        <w:t xml:space="preserve"> This, however</w:t>
      </w:r>
      <w:r w:rsidR="00057987">
        <w:rPr>
          <w:lang w:val="en-GB"/>
        </w:rPr>
        <w:t>,</w:t>
      </w:r>
      <w:r w:rsidR="0066245C" w:rsidRPr="0066245C">
        <w:rPr>
          <w:lang w:val="en-GB"/>
        </w:rPr>
        <w:t xml:space="preserve"> did not mean that the permits in the future would be automatically renewed, this remains at the discretion of the authorities.</w:t>
      </w:r>
    </w:p>
    <w:p w14:paraId="32D2B14C" w14:textId="40E680FB" w:rsidR="005754C3" w:rsidRPr="005754C3" w:rsidRDefault="005754C3" w:rsidP="005754C3">
      <w:pPr>
        <w:pStyle w:val="Otsikko2"/>
        <w:rPr>
          <w:sz w:val="22"/>
          <w:szCs w:val="22"/>
          <w:lang w:val="en-GB"/>
        </w:rPr>
      </w:pPr>
      <w:bookmarkStart w:id="21" w:name="_Toc153893392"/>
      <w:r w:rsidRPr="005754C3">
        <w:rPr>
          <w:sz w:val="22"/>
          <w:szCs w:val="22"/>
          <w:lang w:val="en-GB"/>
        </w:rPr>
        <w:t>Reference to earlier observations</w:t>
      </w:r>
      <w:bookmarkEnd w:id="21"/>
    </w:p>
    <w:p w14:paraId="73A5EA43" w14:textId="45456E95" w:rsidR="00332E34" w:rsidRPr="0066245C" w:rsidRDefault="00332E34" w:rsidP="0066245C">
      <w:pPr>
        <w:pStyle w:val="numeroitukappale"/>
        <w:rPr>
          <w:lang w:val="en-GB"/>
        </w:rPr>
      </w:pPr>
      <w:r>
        <w:rPr>
          <w:lang w:val="en-GB"/>
        </w:rPr>
        <w:t>The few points presented in this document are in addition to the written statement, submitted by the Human Rights Centre to the GREVIO in March 2023 during the regular monitoring round. Many of the topics there are still very relevant during thematic monitoring round.</w:t>
      </w:r>
    </w:p>
    <w:p w14:paraId="5FFAE59B" w14:textId="77777777" w:rsidR="00CF4101" w:rsidRPr="00CF4101" w:rsidRDefault="00CF4101" w:rsidP="00F5703E">
      <w:pPr>
        <w:pStyle w:val="numeroitukappale"/>
        <w:numPr>
          <w:ilvl w:val="0"/>
          <w:numId w:val="0"/>
        </w:numPr>
        <w:ind w:left="360"/>
        <w:rPr>
          <w:highlight w:val="yellow"/>
          <w:lang w:val="en-GB"/>
        </w:rPr>
      </w:pPr>
    </w:p>
    <w:p w14:paraId="0B0A29BB" w14:textId="1FEF90C6" w:rsidR="00855063" w:rsidRPr="00CF4101" w:rsidRDefault="00855063" w:rsidP="005F5DD9">
      <w:pPr>
        <w:spacing w:line="276" w:lineRule="auto"/>
        <w:jc w:val="both"/>
        <w:rPr>
          <w:sz w:val="22"/>
          <w:highlight w:val="yellow"/>
          <w:lang w:val="en-GB"/>
        </w:rPr>
      </w:pPr>
    </w:p>
    <w:p w14:paraId="4F3F8A09" w14:textId="77777777" w:rsidR="002521EE" w:rsidRPr="00CF4101" w:rsidRDefault="002521EE" w:rsidP="005F5DD9">
      <w:pPr>
        <w:spacing w:line="276" w:lineRule="auto"/>
        <w:jc w:val="both"/>
        <w:rPr>
          <w:sz w:val="22"/>
          <w:highlight w:val="yellow"/>
          <w:lang w:val="en-GB"/>
        </w:rPr>
      </w:pPr>
    </w:p>
    <w:p w14:paraId="255F8484" w14:textId="77777777" w:rsidR="002521EE" w:rsidRPr="00CF4101" w:rsidRDefault="002521EE" w:rsidP="005F5DD9">
      <w:pPr>
        <w:spacing w:line="276" w:lineRule="auto"/>
        <w:jc w:val="both"/>
        <w:rPr>
          <w:sz w:val="22"/>
          <w:highlight w:val="yellow"/>
          <w:lang w:val="en-GB"/>
        </w:rPr>
      </w:pPr>
    </w:p>
    <w:p w14:paraId="34885351" w14:textId="5BCF3861" w:rsidR="005F5DD9" w:rsidRPr="00CF4101" w:rsidRDefault="005F5DD9" w:rsidP="00400846">
      <w:pPr>
        <w:spacing w:line="276" w:lineRule="auto"/>
        <w:ind w:left="360"/>
        <w:jc w:val="both"/>
        <w:rPr>
          <w:sz w:val="22"/>
          <w:lang w:val="en-GB"/>
        </w:rPr>
      </w:pPr>
      <w:r w:rsidRPr="00CF4101">
        <w:rPr>
          <w:sz w:val="22"/>
          <w:lang w:val="en-GB"/>
        </w:rPr>
        <w:t>Sirpa Rautio</w:t>
      </w:r>
      <w:r w:rsidRPr="00CF4101">
        <w:rPr>
          <w:sz w:val="22"/>
          <w:lang w:val="en-GB"/>
        </w:rPr>
        <w:tab/>
      </w:r>
      <w:r w:rsidRPr="00CF4101">
        <w:rPr>
          <w:sz w:val="22"/>
          <w:lang w:val="en-GB"/>
        </w:rPr>
        <w:tab/>
      </w:r>
      <w:r w:rsidRPr="00CF4101">
        <w:rPr>
          <w:sz w:val="22"/>
          <w:lang w:val="en-GB"/>
        </w:rPr>
        <w:tab/>
      </w:r>
      <w:r w:rsidR="00855063" w:rsidRPr="00CF4101">
        <w:rPr>
          <w:sz w:val="22"/>
          <w:lang w:val="en-GB"/>
        </w:rPr>
        <w:tab/>
      </w:r>
      <w:r w:rsidR="00FF5B57" w:rsidRPr="00CF4101">
        <w:rPr>
          <w:sz w:val="22"/>
          <w:lang w:val="en-GB"/>
        </w:rPr>
        <w:t>Leena Leikas</w:t>
      </w:r>
    </w:p>
    <w:p w14:paraId="3DB305DF" w14:textId="47A2A712" w:rsidR="0053703E" w:rsidRPr="002E6EE9" w:rsidRDefault="002E6EE9" w:rsidP="00057987">
      <w:pPr>
        <w:spacing w:line="276" w:lineRule="auto"/>
        <w:ind w:firstLine="360"/>
        <w:jc w:val="both"/>
        <w:rPr>
          <w:lang w:val="en-GB"/>
        </w:rPr>
      </w:pPr>
      <w:r w:rsidRPr="00CF4101">
        <w:rPr>
          <w:sz w:val="22"/>
          <w:lang w:val="en-GB"/>
        </w:rPr>
        <w:t>Director</w:t>
      </w:r>
      <w:r w:rsidRPr="00CF4101">
        <w:rPr>
          <w:sz w:val="22"/>
          <w:lang w:val="en-GB"/>
        </w:rPr>
        <w:tab/>
      </w:r>
      <w:r w:rsidRPr="00CF4101">
        <w:rPr>
          <w:sz w:val="22"/>
          <w:lang w:val="en-GB"/>
        </w:rPr>
        <w:tab/>
      </w:r>
      <w:r w:rsidRPr="00CF4101">
        <w:rPr>
          <w:sz w:val="22"/>
          <w:lang w:val="en-GB"/>
        </w:rPr>
        <w:tab/>
      </w:r>
      <w:r w:rsidRPr="00CF4101">
        <w:rPr>
          <w:sz w:val="22"/>
          <w:lang w:val="en-GB"/>
        </w:rPr>
        <w:tab/>
      </w:r>
      <w:r w:rsidR="00400846" w:rsidRPr="00CF4101">
        <w:rPr>
          <w:sz w:val="22"/>
          <w:lang w:val="en-GB"/>
        </w:rPr>
        <w:tab/>
      </w:r>
      <w:r w:rsidRPr="00CF4101">
        <w:rPr>
          <w:sz w:val="22"/>
          <w:lang w:val="en-GB"/>
        </w:rPr>
        <w:t>Expert</w:t>
      </w:r>
      <w:r w:rsidR="008B3ABD" w:rsidRPr="002E6EE9">
        <w:rPr>
          <w:sz w:val="22"/>
          <w:lang w:val="en-GB"/>
        </w:rPr>
        <w:tab/>
      </w:r>
      <w:r w:rsidR="008B3ABD" w:rsidRPr="002E6EE9">
        <w:rPr>
          <w:sz w:val="22"/>
          <w:lang w:val="en-GB"/>
        </w:rPr>
        <w:tab/>
      </w:r>
      <w:r w:rsidR="008B3ABD" w:rsidRPr="002E6EE9">
        <w:rPr>
          <w:sz w:val="22"/>
          <w:lang w:val="en-GB"/>
        </w:rPr>
        <w:tab/>
      </w:r>
    </w:p>
    <w:sectPr w:rsidR="0053703E" w:rsidRPr="002E6EE9" w:rsidSect="002D0257">
      <w:footerReference w:type="default" r:id="rId20"/>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6647" w14:textId="77777777" w:rsidR="00EA07D5" w:rsidRDefault="00EA07D5" w:rsidP="0063085E">
      <w:pPr>
        <w:spacing w:line="240" w:lineRule="auto"/>
      </w:pPr>
      <w:r>
        <w:separator/>
      </w:r>
    </w:p>
  </w:endnote>
  <w:endnote w:type="continuationSeparator" w:id="0">
    <w:p w14:paraId="31B81819" w14:textId="77777777" w:rsidR="00EA07D5" w:rsidRDefault="00EA07D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0F1" w14:textId="77777777" w:rsidR="005F5DD9" w:rsidRDefault="005F5DD9"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16926D5" w14:textId="77777777" w:rsidR="005F5DD9" w:rsidRDefault="005F5DD9"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6428748D" w14:textId="77777777" w:rsidR="005F5DD9" w:rsidRDefault="005F5DD9">
        <w:pPr>
          <w:pStyle w:val="Alatunniste"/>
          <w:jc w:val="right"/>
        </w:pPr>
        <w:r>
          <w:fldChar w:fldCharType="begin"/>
        </w:r>
        <w:r>
          <w:instrText>PAGE   \* MERGEFORMAT</w:instrText>
        </w:r>
        <w:r>
          <w:fldChar w:fldCharType="separate"/>
        </w:r>
        <w:r>
          <w:rPr>
            <w:noProof/>
          </w:rPr>
          <w:t>2</w:t>
        </w:r>
        <w:r>
          <w:fldChar w:fldCharType="end"/>
        </w:r>
      </w:p>
    </w:sdtContent>
  </w:sdt>
  <w:p w14:paraId="7F0C33BD" w14:textId="77777777" w:rsidR="005F5DD9" w:rsidRDefault="005F5DD9"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063" w14:textId="77777777" w:rsidR="005F5DD9" w:rsidRDefault="005F5DD9">
    <w:pPr>
      <w:pStyle w:val="Alatunniste"/>
    </w:pPr>
    <w:r>
      <w:rPr>
        <w:noProof/>
      </w:rPr>
      <w:drawing>
        <wp:anchor distT="0" distB="0" distL="114300" distR="114300" simplePos="0" relativeHeight="251661312" behindDoc="1" locked="0" layoutInCell="1" allowOverlap="1" wp14:anchorId="05C10E00" wp14:editId="5A42CC8C">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FC51" w14:textId="77777777" w:rsidR="00EA07D5" w:rsidRDefault="00EA07D5" w:rsidP="0063085E">
      <w:pPr>
        <w:spacing w:line="240" w:lineRule="auto"/>
      </w:pPr>
      <w:r>
        <w:separator/>
      </w:r>
    </w:p>
  </w:footnote>
  <w:footnote w:type="continuationSeparator" w:id="0">
    <w:p w14:paraId="6D1AB291" w14:textId="77777777" w:rsidR="00EA07D5" w:rsidRDefault="00EA07D5" w:rsidP="0063085E">
      <w:pPr>
        <w:spacing w:line="240" w:lineRule="auto"/>
      </w:pPr>
      <w:r>
        <w:continuationSeparator/>
      </w:r>
    </w:p>
  </w:footnote>
  <w:footnote w:id="1">
    <w:p w14:paraId="6CD75691" w14:textId="77777777" w:rsidR="00D47228" w:rsidRDefault="002E6EE9" w:rsidP="00D47228">
      <w:pPr>
        <w:spacing w:line="276" w:lineRule="auto"/>
        <w:jc w:val="both"/>
        <w:rPr>
          <w:rFonts w:cs="Arial"/>
          <w:color w:val="000000" w:themeColor="text1"/>
          <w:szCs w:val="18"/>
          <w:lang w:val="en-US" w:eastAsia="fi-FI"/>
        </w:rPr>
      </w:pPr>
      <w:r w:rsidRPr="004E05CB">
        <w:rPr>
          <w:rStyle w:val="Alaviitteenviite"/>
          <w:color w:val="000000" w:themeColor="text1"/>
          <w:szCs w:val="18"/>
        </w:rPr>
        <w:footnoteRef/>
      </w:r>
      <w:r w:rsidRPr="004E05CB">
        <w:rPr>
          <w:color w:val="000000" w:themeColor="text1"/>
          <w:szCs w:val="18"/>
          <w:lang w:val="en-US"/>
        </w:rPr>
        <w:t xml:space="preserve"> </w:t>
      </w:r>
      <w:r w:rsidR="00D47228" w:rsidRPr="004E05CB">
        <w:rPr>
          <w:rFonts w:cs="Arial"/>
          <w:color w:val="000000" w:themeColor="text1"/>
          <w:szCs w:val="18"/>
          <w:lang w:val="en-US"/>
        </w:rPr>
        <w:t>T</w:t>
      </w:r>
      <w:r w:rsidR="00D47228" w:rsidRPr="004E05CB">
        <w:rPr>
          <w:rFonts w:cs="Arial"/>
          <w:color w:val="000000" w:themeColor="text1"/>
          <w:szCs w:val="18"/>
          <w:lang w:val="en-US" w:eastAsia="fi-FI"/>
        </w:rPr>
        <w:t>he H</w:t>
      </w:r>
      <w:r w:rsidR="00D47228">
        <w:rPr>
          <w:rFonts w:cs="Arial"/>
          <w:color w:val="000000" w:themeColor="text1"/>
          <w:szCs w:val="18"/>
          <w:lang w:val="en-US" w:eastAsia="fi-FI"/>
        </w:rPr>
        <w:t>uman Rights Centre r</w:t>
      </w:r>
      <w:r w:rsidR="00D47228" w:rsidRPr="004E05CB">
        <w:rPr>
          <w:rFonts w:cs="Arial"/>
          <w:color w:val="000000" w:themeColor="text1"/>
          <w:szCs w:val="18"/>
          <w:lang w:val="en-US" w:eastAsia="fi-FI"/>
        </w:rPr>
        <w:t xml:space="preserve">epresents the </w:t>
      </w:r>
      <w:r w:rsidR="00D47228" w:rsidRPr="00D47228">
        <w:rPr>
          <w:rStyle w:val="ui-provider"/>
          <w:lang w:val="en-GB"/>
        </w:rPr>
        <w:t>Finnish National Human Rights Institution (NHRI)</w:t>
      </w:r>
      <w:r w:rsidR="00D47228" w:rsidRPr="004E05CB">
        <w:rPr>
          <w:rFonts w:cs="Arial"/>
          <w:color w:val="000000" w:themeColor="text1"/>
          <w:szCs w:val="18"/>
          <w:lang w:val="en-US" w:eastAsia="fi-FI"/>
        </w:rPr>
        <w:t xml:space="preserve"> in international NHRI cooperation and other international and European cooperation in human rights. </w:t>
      </w:r>
    </w:p>
    <w:p w14:paraId="364C54D5" w14:textId="77777777" w:rsidR="00D47228" w:rsidRDefault="00D47228" w:rsidP="00D47228">
      <w:pPr>
        <w:spacing w:line="276" w:lineRule="auto"/>
        <w:jc w:val="both"/>
        <w:rPr>
          <w:rFonts w:cs="Arial"/>
          <w:color w:val="000000" w:themeColor="text1"/>
          <w:szCs w:val="18"/>
          <w:lang w:val="en-US" w:eastAsia="fi-FI"/>
        </w:rPr>
      </w:pPr>
    </w:p>
    <w:p w14:paraId="7FAEBA11" w14:textId="06C281C3" w:rsidR="00D47228" w:rsidRPr="00D47228" w:rsidRDefault="00D47228" w:rsidP="00D47228">
      <w:pPr>
        <w:spacing w:line="276" w:lineRule="auto"/>
        <w:jc w:val="both"/>
        <w:rPr>
          <w:sz w:val="22"/>
          <w:lang w:val="en-GB"/>
        </w:rPr>
      </w:pPr>
      <w:r w:rsidRPr="00D47228">
        <w:rPr>
          <w:rStyle w:val="ui-provider"/>
          <w:lang w:val="en-GB"/>
        </w:rPr>
        <w:t xml:space="preserve">The </w:t>
      </w:r>
      <w:r>
        <w:rPr>
          <w:rStyle w:val="ui-provider"/>
          <w:lang w:val="en-GB"/>
        </w:rPr>
        <w:t xml:space="preserve">NHRI </w:t>
      </w:r>
      <w:r w:rsidRPr="00D47228">
        <w:rPr>
          <w:rStyle w:val="ui-provider"/>
          <w:lang w:val="en-GB"/>
        </w:rPr>
        <w:t xml:space="preserve">comprises the Human Rights Centre, </w:t>
      </w:r>
      <w:r>
        <w:rPr>
          <w:rStyle w:val="ui-provider"/>
          <w:lang w:val="en-GB"/>
        </w:rPr>
        <w:t>its pluralistic 39-member</w:t>
      </w:r>
      <w:r w:rsidRPr="00D47228">
        <w:rPr>
          <w:rStyle w:val="ui-provider"/>
          <w:lang w:val="en-GB"/>
        </w:rPr>
        <w:t xml:space="preserve"> Human Rights Delegation, and the Office of the Parliamentary Ombudsman. The institution complies with the </w:t>
      </w:r>
      <w:r>
        <w:rPr>
          <w:rStyle w:val="ui-provider"/>
          <w:lang w:val="en-GB"/>
        </w:rPr>
        <w:t xml:space="preserve">UN </w:t>
      </w:r>
      <w:r w:rsidRPr="00D47228">
        <w:rPr>
          <w:rStyle w:val="ui-provider"/>
          <w:lang w:val="en-GB"/>
        </w:rPr>
        <w:t>Paris Principles</w:t>
      </w:r>
      <w:r>
        <w:rPr>
          <w:rStyle w:val="ui-provider"/>
          <w:lang w:val="en-GB"/>
        </w:rPr>
        <w:t xml:space="preserve"> and the</w:t>
      </w:r>
      <w:r w:rsidRPr="00D47228">
        <w:rPr>
          <w:rStyle w:val="ui-provider"/>
          <w:lang w:val="en-GB"/>
        </w:rPr>
        <w:t xml:space="preserve"> </w:t>
      </w:r>
      <w:r w:rsidRPr="00D47228">
        <w:rPr>
          <w:lang w:val="en-GB"/>
        </w:rPr>
        <w:t>Global Alliance of NHRIs (GANHRI)</w:t>
      </w:r>
      <w:r w:rsidRPr="00D47228">
        <w:rPr>
          <w:rStyle w:val="ui-provider"/>
          <w:lang w:val="en-GB"/>
        </w:rPr>
        <w:t xml:space="preserve"> accredited it with A-status in 2014</w:t>
      </w:r>
      <w:r>
        <w:rPr>
          <w:rStyle w:val="ui-provider"/>
          <w:lang w:val="en-GB"/>
        </w:rPr>
        <w:t xml:space="preserve"> and 2019</w:t>
      </w:r>
      <w:r w:rsidRPr="00D47228">
        <w:rPr>
          <w:rStyle w:val="ui-provider"/>
          <w:lang w:val="en-GB"/>
        </w:rPr>
        <w:t>.</w:t>
      </w:r>
      <w:r>
        <w:rPr>
          <w:rStyle w:val="ui-provider"/>
          <w:lang w:val="en-GB"/>
        </w:rPr>
        <w:t xml:space="preserve"> </w:t>
      </w:r>
    </w:p>
    <w:p w14:paraId="12E281A6" w14:textId="6D2521E6" w:rsidR="002E6EE9" w:rsidRPr="00D47228" w:rsidRDefault="002E6EE9" w:rsidP="002E6EE9">
      <w:pPr>
        <w:autoSpaceDE w:val="0"/>
        <w:autoSpaceDN w:val="0"/>
        <w:adjustRightInd w:val="0"/>
        <w:spacing w:line="276" w:lineRule="auto"/>
        <w:jc w:val="both"/>
        <w:rPr>
          <w:rFonts w:cs="Arial"/>
          <w:color w:val="000000" w:themeColor="text1"/>
          <w:szCs w:val="18"/>
          <w:lang w:val="en-GB" w:eastAsia="fi-FI"/>
        </w:rPr>
      </w:pPr>
    </w:p>
    <w:p w14:paraId="16948623" w14:textId="77777777" w:rsidR="002E6EE9" w:rsidRPr="00504D81" w:rsidRDefault="002E6EE9" w:rsidP="002E6EE9">
      <w:pPr>
        <w:pStyle w:val="Alaviitteenteksti"/>
        <w:rPr>
          <w:color w:val="DC5034"/>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028" w14:textId="77777777" w:rsidR="005F5DD9" w:rsidRDefault="005F5D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F8D" w14:textId="77777777" w:rsidR="005F5DD9" w:rsidRDefault="005F5DD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EA68" w14:textId="77777777" w:rsidR="005F5DD9" w:rsidRDefault="005F5DD9">
    <w:pPr>
      <w:pStyle w:val="Yltunniste"/>
    </w:pPr>
    <w:r>
      <w:rPr>
        <w:noProof/>
        <w:lang w:eastAsia="fi-FI"/>
      </w:rPr>
      <w:drawing>
        <wp:anchor distT="0" distB="0" distL="114300" distR="114300" simplePos="0" relativeHeight="251657216" behindDoc="1" locked="0" layoutInCell="1" allowOverlap="1" wp14:anchorId="102FEA2E" wp14:editId="19379E4F">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1415A5"/>
    <w:multiLevelType w:val="hybridMultilevel"/>
    <w:tmpl w:val="BF64E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6D5195"/>
    <w:multiLevelType w:val="hybridMultilevel"/>
    <w:tmpl w:val="1F5A20E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E1B57B7"/>
    <w:multiLevelType w:val="hybridMultilevel"/>
    <w:tmpl w:val="4C8053AA"/>
    <w:lvl w:ilvl="0" w:tplc="EAAC8224">
      <w:start w:val="1"/>
      <w:numFmt w:val="decimal"/>
      <w:pStyle w:val="numeroitukappale"/>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838274725">
    <w:abstractNumId w:val="2"/>
  </w:num>
  <w:num w:numId="2" w16cid:durableId="1719475760">
    <w:abstractNumId w:val="0"/>
  </w:num>
  <w:num w:numId="3" w16cid:durableId="457527282">
    <w:abstractNumId w:val="1"/>
  </w:num>
  <w:num w:numId="4" w16cid:durableId="1607736523">
    <w:abstractNumId w:val="3"/>
  </w:num>
  <w:num w:numId="5" w16cid:durableId="509871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025D"/>
    <w:rsid w:val="00001A9B"/>
    <w:rsid w:val="0001511D"/>
    <w:rsid w:val="00025CB7"/>
    <w:rsid w:val="0002781D"/>
    <w:rsid w:val="00027BDA"/>
    <w:rsid w:val="000336CD"/>
    <w:rsid w:val="00033F58"/>
    <w:rsid w:val="000357B1"/>
    <w:rsid w:val="000358C2"/>
    <w:rsid w:val="0005002D"/>
    <w:rsid w:val="00055C8C"/>
    <w:rsid w:val="00057987"/>
    <w:rsid w:val="000666D5"/>
    <w:rsid w:val="00076B3F"/>
    <w:rsid w:val="000A6DE3"/>
    <w:rsid w:val="000B2680"/>
    <w:rsid w:val="000B3266"/>
    <w:rsid w:val="000B5EDA"/>
    <w:rsid w:val="000B7344"/>
    <w:rsid w:val="000C329D"/>
    <w:rsid w:val="000C3AE5"/>
    <w:rsid w:val="000C649E"/>
    <w:rsid w:val="000D42BB"/>
    <w:rsid w:val="000D44E6"/>
    <w:rsid w:val="000D7BB2"/>
    <w:rsid w:val="000F549C"/>
    <w:rsid w:val="000F58AC"/>
    <w:rsid w:val="000F5E77"/>
    <w:rsid w:val="00111720"/>
    <w:rsid w:val="00115B73"/>
    <w:rsid w:val="00124384"/>
    <w:rsid w:val="0012620A"/>
    <w:rsid w:val="00144583"/>
    <w:rsid w:val="001616DC"/>
    <w:rsid w:val="00161D6B"/>
    <w:rsid w:val="00187C1C"/>
    <w:rsid w:val="001F2DAD"/>
    <w:rsid w:val="002251DA"/>
    <w:rsid w:val="00232A8E"/>
    <w:rsid w:val="0023796A"/>
    <w:rsid w:val="00241F49"/>
    <w:rsid w:val="00243C34"/>
    <w:rsid w:val="00250587"/>
    <w:rsid w:val="0025096A"/>
    <w:rsid w:val="002521EE"/>
    <w:rsid w:val="0025259C"/>
    <w:rsid w:val="002533C8"/>
    <w:rsid w:val="00263F06"/>
    <w:rsid w:val="00282675"/>
    <w:rsid w:val="00284147"/>
    <w:rsid w:val="00284B4F"/>
    <w:rsid w:val="00290928"/>
    <w:rsid w:val="002916EB"/>
    <w:rsid w:val="002A4AE0"/>
    <w:rsid w:val="002B0354"/>
    <w:rsid w:val="002C6A3C"/>
    <w:rsid w:val="002D0257"/>
    <w:rsid w:val="002D4A4D"/>
    <w:rsid w:val="002E6EE9"/>
    <w:rsid w:val="002F29AA"/>
    <w:rsid w:val="00305871"/>
    <w:rsid w:val="00311CAD"/>
    <w:rsid w:val="00320293"/>
    <w:rsid w:val="00325ECF"/>
    <w:rsid w:val="00330AC4"/>
    <w:rsid w:val="00332E34"/>
    <w:rsid w:val="0034624F"/>
    <w:rsid w:val="00350A29"/>
    <w:rsid w:val="00364B13"/>
    <w:rsid w:val="003A217C"/>
    <w:rsid w:val="003B36B0"/>
    <w:rsid w:val="003B4325"/>
    <w:rsid w:val="003D5C39"/>
    <w:rsid w:val="003D6924"/>
    <w:rsid w:val="003F3A74"/>
    <w:rsid w:val="003F3BF1"/>
    <w:rsid w:val="003F65CA"/>
    <w:rsid w:val="003F7D3C"/>
    <w:rsid w:val="00400846"/>
    <w:rsid w:val="004100D9"/>
    <w:rsid w:val="0042316A"/>
    <w:rsid w:val="004265C9"/>
    <w:rsid w:val="00450477"/>
    <w:rsid w:val="00457749"/>
    <w:rsid w:val="00464AA7"/>
    <w:rsid w:val="0047358D"/>
    <w:rsid w:val="00480056"/>
    <w:rsid w:val="00492ED4"/>
    <w:rsid w:val="004A6A8D"/>
    <w:rsid w:val="004D3F22"/>
    <w:rsid w:val="004D4391"/>
    <w:rsid w:val="004F47D0"/>
    <w:rsid w:val="004F7FB7"/>
    <w:rsid w:val="00510EA5"/>
    <w:rsid w:val="00514A60"/>
    <w:rsid w:val="00522504"/>
    <w:rsid w:val="00524C77"/>
    <w:rsid w:val="00527ED3"/>
    <w:rsid w:val="0053703E"/>
    <w:rsid w:val="0054423B"/>
    <w:rsid w:val="00545B33"/>
    <w:rsid w:val="00546C8A"/>
    <w:rsid w:val="0055782F"/>
    <w:rsid w:val="00561763"/>
    <w:rsid w:val="005634B1"/>
    <w:rsid w:val="005754C3"/>
    <w:rsid w:val="0058059E"/>
    <w:rsid w:val="0059064F"/>
    <w:rsid w:val="005B62B6"/>
    <w:rsid w:val="005B6E45"/>
    <w:rsid w:val="005F5DD9"/>
    <w:rsid w:val="005F6AB0"/>
    <w:rsid w:val="006120CF"/>
    <w:rsid w:val="00620E1F"/>
    <w:rsid w:val="00623004"/>
    <w:rsid w:val="0062639C"/>
    <w:rsid w:val="0063085E"/>
    <w:rsid w:val="00640430"/>
    <w:rsid w:val="00642792"/>
    <w:rsid w:val="00647FB9"/>
    <w:rsid w:val="00657415"/>
    <w:rsid w:val="0066245C"/>
    <w:rsid w:val="006746DF"/>
    <w:rsid w:val="00675C42"/>
    <w:rsid w:val="006944B8"/>
    <w:rsid w:val="00694AE8"/>
    <w:rsid w:val="00695DCF"/>
    <w:rsid w:val="00697EAD"/>
    <w:rsid w:val="006A1796"/>
    <w:rsid w:val="006B0235"/>
    <w:rsid w:val="006B6330"/>
    <w:rsid w:val="006C5A47"/>
    <w:rsid w:val="006D13A3"/>
    <w:rsid w:val="006F3863"/>
    <w:rsid w:val="0070486A"/>
    <w:rsid w:val="007146F3"/>
    <w:rsid w:val="00726882"/>
    <w:rsid w:val="007278D9"/>
    <w:rsid w:val="00744BBC"/>
    <w:rsid w:val="0075710C"/>
    <w:rsid w:val="00771973"/>
    <w:rsid w:val="007938A0"/>
    <w:rsid w:val="00796D6D"/>
    <w:rsid w:val="007A23B1"/>
    <w:rsid w:val="007A4071"/>
    <w:rsid w:val="007A5AC0"/>
    <w:rsid w:val="007C30BB"/>
    <w:rsid w:val="007C391E"/>
    <w:rsid w:val="007D5974"/>
    <w:rsid w:val="007D6042"/>
    <w:rsid w:val="007E0071"/>
    <w:rsid w:val="007E285C"/>
    <w:rsid w:val="00802AA9"/>
    <w:rsid w:val="00803970"/>
    <w:rsid w:val="008173C7"/>
    <w:rsid w:val="00820BCA"/>
    <w:rsid w:val="00824783"/>
    <w:rsid w:val="00824E79"/>
    <w:rsid w:val="00825E7D"/>
    <w:rsid w:val="00840E9D"/>
    <w:rsid w:val="00845E33"/>
    <w:rsid w:val="008542C8"/>
    <w:rsid w:val="00855063"/>
    <w:rsid w:val="008864CD"/>
    <w:rsid w:val="0089204C"/>
    <w:rsid w:val="00892796"/>
    <w:rsid w:val="008A1A79"/>
    <w:rsid w:val="008A40AE"/>
    <w:rsid w:val="008A4F49"/>
    <w:rsid w:val="008B00D8"/>
    <w:rsid w:val="008B3ABD"/>
    <w:rsid w:val="008C0C94"/>
    <w:rsid w:val="008D2A41"/>
    <w:rsid w:val="008E19B9"/>
    <w:rsid w:val="00904FB3"/>
    <w:rsid w:val="00910316"/>
    <w:rsid w:val="00921ACC"/>
    <w:rsid w:val="009247C0"/>
    <w:rsid w:val="0096422E"/>
    <w:rsid w:val="00964EFE"/>
    <w:rsid w:val="0097504B"/>
    <w:rsid w:val="009A0275"/>
    <w:rsid w:val="009A1DEE"/>
    <w:rsid w:val="009A2401"/>
    <w:rsid w:val="009B26F1"/>
    <w:rsid w:val="009F3486"/>
    <w:rsid w:val="00A20382"/>
    <w:rsid w:val="00A22934"/>
    <w:rsid w:val="00A24839"/>
    <w:rsid w:val="00A2656C"/>
    <w:rsid w:val="00A459DC"/>
    <w:rsid w:val="00A6661E"/>
    <w:rsid w:val="00A745E7"/>
    <w:rsid w:val="00A779DD"/>
    <w:rsid w:val="00A84FAB"/>
    <w:rsid w:val="00A923DC"/>
    <w:rsid w:val="00AA0C8E"/>
    <w:rsid w:val="00AA10EA"/>
    <w:rsid w:val="00AB0CB7"/>
    <w:rsid w:val="00AB1505"/>
    <w:rsid w:val="00AD611E"/>
    <w:rsid w:val="00AF049D"/>
    <w:rsid w:val="00AF6FC5"/>
    <w:rsid w:val="00B00293"/>
    <w:rsid w:val="00B00B31"/>
    <w:rsid w:val="00B012C4"/>
    <w:rsid w:val="00B069C8"/>
    <w:rsid w:val="00B07246"/>
    <w:rsid w:val="00B20FD9"/>
    <w:rsid w:val="00B2394C"/>
    <w:rsid w:val="00B33AE5"/>
    <w:rsid w:val="00B33D6A"/>
    <w:rsid w:val="00B36ABE"/>
    <w:rsid w:val="00B539AE"/>
    <w:rsid w:val="00B5682B"/>
    <w:rsid w:val="00B63EB4"/>
    <w:rsid w:val="00BA22C0"/>
    <w:rsid w:val="00BA4B4C"/>
    <w:rsid w:val="00BB4DF2"/>
    <w:rsid w:val="00C01CFF"/>
    <w:rsid w:val="00C12D46"/>
    <w:rsid w:val="00C23824"/>
    <w:rsid w:val="00C3737D"/>
    <w:rsid w:val="00C3746C"/>
    <w:rsid w:val="00C42CAC"/>
    <w:rsid w:val="00C5336C"/>
    <w:rsid w:val="00C53BA5"/>
    <w:rsid w:val="00C6090C"/>
    <w:rsid w:val="00C760E2"/>
    <w:rsid w:val="00C7730D"/>
    <w:rsid w:val="00C809BF"/>
    <w:rsid w:val="00C857EF"/>
    <w:rsid w:val="00C943AC"/>
    <w:rsid w:val="00C968DF"/>
    <w:rsid w:val="00C97294"/>
    <w:rsid w:val="00CB3290"/>
    <w:rsid w:val="00CC1041"/>
    <w:rsid w:val="00CD60B4"/>
    <w:rsid w:val="00CE320C"/>
    <w:rsid w:val="00CE5E99"/>
    <w:rsid w:val="00CF4101"/>
    <w:rsid w:val="00CF7C8D"/>
    <w:rsid w:val="00D07E51"/>
    <w:rsid w:val="00D16CBC"/>
    <w:rsid w:val="00D16FA4"/>
    <w:rsid w:val="00D2249C"/>
    <w:rsid w:val="00D23430"/>
    <w:rsid w:val="00D47228"/>
    <w:rsid w:val="00D504F8"/>
    <w:rsid w:val="00D64B5F"/>
    <w:rsid w:val="00D914F7"/>
    <w:rsid w:val="00DA0E3D"/>
    <w:rsid w:val="00DA132D"/>
    <w:rsid w:val="00DA49A6"/>
    <w:rsid w:val="00DA739F"/>
    <w:rsid w:val="00DA74FD"/>
    <w:rsid w:val="00DB2930"/>
    <w:rsid w:val="00DD3201"/>
    <w:rsid w:val="00DE44E1"/>
    <w:rsid w:val="00DE46B1"/>
    <w:rsid w:val="00DF03B5"/>
    <w:rsid w:val="00DF6BBE"/>
    <w:rsid w:val="00E0134E"/>
    <w:rsid w:val="00E036EB"/>
    <w:rsid w:val="00E10492"/>
    <w:rsid w:val="00E25552"/>
    <w:rsid w:val="00E25895"/>
    <w:rsid w:val="00E26429"/>
    <w:rsid w:val="00E3135A"/>
    <w:rsid w:val="00E3289C"/>
    <w:rsid w:val="00E50B43"/>
    <w:rsid w:val="00E53383"/>
    <w:rsid w:val="00E654E4"/>
    <w:rsid w:val="00E813C7"/>
    <w:rsid w:val="00E822A2"/>
    <w:rsid w:val="00E855FB"/>
    <w:rsid w:val="00E8602F"/>
    <w:rsid w:val="00EA07D5"/>
    <w:rsid w:val="00EB4FF3"/>
    <w:rsid w:val="00EC0949"/>
    <w:rsid w:val="00EC6953"/>
    <w:rsid w:val="00ED28AE"/>
    <w:rsid w:val="00ED7497"/>
    <w:rsid w:val="00EE2288"/>
    <w:rsid w:val="00EE2440"/>
    <w:rsid w:val="00EE28B0"/>
    <w:rsid w:val="00F2636A"/>
    <w:rsid w:val="00F52294"/>
    <w:rsid w:val="00F52ADA"/>
    <w:rsid w:val="00F5703E"/>
    <w:rsid w:val="00F74ADA"/>
    <w:rsid w:val="00F76C69"/>
    <w:rsid w:val="00F817CA"/>
    <w:rsid w:val="00F87763"/>
    <w:rsid w:val="00F9025D"/>
    <w:rsid w:val="00F903AF"/>
    <w:rsid w:val="00FA0284"/>
    <w:rsid w:val="00FC6369"/>
    <w:rsid w:val="00FD1D9D"/>
    <w:rsid w:val="00FD43D8"/>
    <w:rsid w:val="00FF12FD"/>
    <w:rsid w:val="00FF5B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442CDC9"/>
  <w15:docId w15:val="{4EC428EA-027C-4F87-A75E-49A334D3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2F29AA"/>
    <w:rPr>
      <w:sz w:val="16"/>
      <w:szCs w:val="16"/>
    </w:rPr>
  </w:style>
  <w:style w:type="paragraph" w:styleId="Kommentinteksti">
    <w:name w:val="annotation text"/>
    <w:basedOn w:val="Normaali"/>
    <w:link w:val="KommentintekstiChar"/>
    <w:uiPriority w:val="99"/>
    <w:unhideWhenUsed/>
    <w:rsid w:val="002F29AA"/>
    <w:pPr>
      <w:spacing w:line="240" w:lineRule="auto"/>
    </w:pPr>
    <w:rPr>
      <w:sz w:val="20"/>
      <w:szCs w:val="20"/>
    </w:rPr>
  </w:style>
  <w:style w:type="character" w:customStyle="1" w:styleId="KommentintekstiChar">
    <w:name w:val="Kommentin teksti Char"/>
    <w:basedOn w:val="Kappaleenoletusfontti"/>
    <w:link w:val="Kommentinteksti"/>
    <w:uiPriority w:val="99"/>
    <w:rsid w:val="002F29AA"/>
    <w:rPr>
      <w:color w:val="000000"/>
      <w:lang w:eastAsia="en-US"/>
    </w:rPr>
  </w:style>
  <w:style w:type="paragraph" w:styleId="Kommentinotsikko">
    <w:name w:val="annotation subject"/>
    <w:basedOn w:val="Kommentinteksti"/>
    <w:next w:val="Kommentinteksti"/>
    <w:link w:val="KommentinotsikkoChar"/>
    <w:uiPriority w:val="99"/>
    <w:semiHidden/>
    <w:unhideWhenUsed/>
    <w:rsid w:val="002F29AA"/>
    <w:rPr>
      <w:b/>
      <w:bCs/>
    </w:rPr>
  </w:style>
  <w:style w:type="character" w:customStyle="1" w:styleId="KommentinotsikkoChar">
    <w:name w:val="Kommentin otsikko Char"/>
    <w:basedOn w:val="KommentintekstiChar"/>
    <w:link w:val="Kommentinotsikko"/>
    <w:uiPriority w:val="99"/>
    <w:semiHidden/>
    <w:rsid w:val="002F29AA"/>
    <w:rPr>
      <w:b/>
      <w:bCs/>
      <w:color w:val="000000"/>
      <w:lang w:eastAsia="en-US"/>
    </w:rPr>
  </w:style>
  <w:style w:type="character" w:styleId="Korostus">
    <w:name w:val="Emphasis"/>
    <w:basedOn w:val="Kappaleenoletusfontti"/>
    <w:uiPriority w:val="20"/>
    <w:qFormat/>
    <w:rsid w:val="00522504"/>
    <w:rPr>
      <w:i/>
      <w:iCs/>
    </w:rPr>
  </w:style>
  <w:style w:type="paragraph" w:styleId="NormaaliWWW">
    <w:name w:val="Normal (Web)"/>
    <w:basedOn w:val="Normaali"/>
    <w:uiPriority w:val="99"/>
    <w:semiHidden/>
    <w:unhideWhenUsed/>
    <w:rsid w:val="008B3ABD"/>
    <w:rPr>
      <w:rFonts w:ascii="Times New Roman" w:hAnsi="Times New Roman"/>
      <w:sz w:val="24"/>
      <w:szCs w:val="24"/>
    </w:rPr>
  </w:style>
  <w:style w:type="character" w:styleId="Hyperlinkki">
    <w:name w:val="Hyperlink"/>
    <w:basedOn w:val="Kappaleenoletusfontti"/>
    <w:uiPriority w:val="99"/>
    <w:unhideWhenUsed/>
    <w:rsid w:val="007D6042"/>
    <w:rPr>
      <w:color w:val="0000FF" w:themeColor="hyperlink"/>
      <w:u w:val="single"/>
    </w:rPr>
  </w:style>
  <w:style w:type="character" w:styleId="Ratkaisematonmaininta">
    <w:name w:val="Unresolved Mention"/>
    <w:basedOn w:val="Kappaleenoletusfontti"/>
    <w:uiPriority w:val="99"/>
    <w:semiHidden/>
    <w:unhideWhenUsed/>
    <w:rsid w:val="007D6042"/>
    <w:rPr>
      <w:color w:val="605E5C"/>
      <w:shd w:val="clear" w:color="auto" w:fill="E1DFDD"/>
    </w:rPr>
  </w:style>
  <w:style w:type="paragraph" w:customStyle="1" w:styleId="numeroitukappale">
    <w:name w:val="numeroitu kappale"/>
    <w:basedOn w:val="Normaali"/>
    <w:link w:val="numeroitukappaleChar"/>
    <w:qFormat/>
    <w:rsid w:val="00D64B5F"/>
    <w:pPr>
      <w:widowControl/>
      <w:numPr>
        <w:numId w:val="5"/>
      </w:numPr>
      <w:spacing w:after="160" w:line="288" w:lineRule="auto"/>
    </w:pPr>
    <w:rPr>
      <w:rFonts w:eastAsiaTheme="minorHAnsi" w:cstheme="minorHAnsi"/>
      <w:color w:val="auto"/>
      <w:sz w:val="22"/>
    </w:rPr>
  </w:style>
  <w:style w:type="character" w:customStyle="1" w:styleId="numeroitukappaleChar">
    <w:name w:val="numeroitu kappale Char"/>
    <w:basedOn w:val="Kappaleenoletusfontti"/>
    <w:link w:val="numeroitukappale"/>
    <w:rsid w:val="00D64B5F"/>
    <w:rPr>
      <w:rFonts w:eastAsiaTheme="minorHAnsi" w:cstheme="minorHAnsi"/>
      <w:sz w:val="22"/>
      <w:szCs w:val="22"/>
      <w:lang w:eastAsia="en-US"/>
    </w:rPr>
  </w:style>
  <w:style w:type="paragraph" w:styleId="Alaviitteenteksti">
    <w:name w:val="footnote text"/>
    <w:aliases w:val="Alaviitteen teksti Char Char,Alaviitteen teksti Char Char Char,Alaviitteen teksti Char Char Char Char Char,5_G"/>
    <w:basedOn w:val="Normaali"/>
    <w:link w:val="AlaviitteentekstiChar"/>
    <w:unhideWhenUsed/>
    <w:rsid w:val="002E6EE9"/>
    <w:pPr>
      <w:spacing w:line="240" w:lineRule="auto"/>
    </w:pPr>
    <w:rPr>
      <w:sz w:val="20"/>
      <w:szCs w:val="20"/>
    </w:rPr>
  </w:style>
  <w:style w:type="character" w:customStyle="1" w:styleId="AlaviitteentekstiChar">
    <w:name w:val="Alaviitteen teksti Char"/>
    <w:aliases w:val="Alaviitteen teksti Char Char Char1,Alaviitteen teksti Char Char Char Char,Alaviitteen teksti Char Char Char Char Char Char,5_G Char"/>
    <w:basedOn w:val="Kappaleenoletusfontti"/>
    <w:link w:val="Alaviitteenteksti"/>
    <w:rsid w:val="002E6EE9"/>
    <w:rPr>
      <w:color w:val="000000"/>
      <w:lang w:eastAsia="en-US"/>
    </w:rPr>
  </w:style>
  <w:style w:type="character" w:styleId="Alaviitteenviite">
    <w:name w:val="footnote reference"/>
    <w:basedOn w:val="Kappaleenoletusfontti"/>
    <w:unhideWhenUsed/>
    <w:rsid w:val="002E6EE9"/>
    <w:rPr>
      <w:vertAlign w:val="superscript"/>
    </w:rPr>
  </w:style>
  <w:style w:type="character" w:customStyle="1" w:styleId="ui-provider">
    <w:name w:val="ui-provider"/>
    <w:basedOn w:val="Kappaleenoletusfontti"/>
    <w:rsid w:val="00D47228"/>
  </w:style>
  <w:style w:type="paragraph" w:customStyle="1" w:styleId="HMG">
    <w:name w:val="_ H __M_G"/>
    <w:basedOn w:val="Normaali"/>
    <w:next w:val="Normaali"/>
    <w:rsid w:val="00803970"/>
    <w:pPr>
      <w:keepNext/>
      <w:keepLines/>
      <w:widowControl/>
      <w:tabs>
        <w:tab w:val="right" w:pos="851"/>
      </w:tabs>
      <w:suppressAutoHyphens/>
      <w:spacing w:before="240" w:after="240" w:line="360" w:lineRule="exact"/>
      <w:ind w:left="1134" w:right="1134" w:hanging="1134"/>
      <w:outlineLvl w:val="0"/>
    </w:pPr>
    <w:rPr>
      <w:rFonts w:ascii="Times New Roman" w:eastAsia="Times New Roman" w:hAnsi="Times New Roman"/>
      <w:b/>
      <w:color w:val="auto"/>
      <w:sz w:val="34"/>
      <w:szCs w:val="20"/>
      <w:lang w:val="en-GB"/>
    </w:rPr>
  </w:style>
  <w:style w:type="paragraph" w:customStyle="1" w:styleId="H1G">
    <w:name w:val="_ H_1_G"/>
    <w:basedOn w:val="Normaali"/>
    <w:next w:val="Normaali"/>
    <w:rsid w:val="00803970"/>
    <w:pPr>
      <w:keepNext/>
      <w:keepLines/>
      <w:widowControl/>
      <w:tabs>
        <w:tab w:val="right" w:pos="851"/>
      </w:tabs>
      <w:suppressAutoHyphens/>
      <w:spacing w:before="360" w:after="240" w:line="270" w:lineRule="exact"/>
      <w:ind w:left="1134" w:right="1134" w:hanging="1134"/>
      <w:outlineLvl w:val="2"/>
    </w:pPr>
    <w:rPr>
      <w:rFonts w:ascii="Times New Roman" w:eastAsia="Times New Roman" w:hAnsi="Times New Roman"/>
      <w:b/>
      <w:color w:val="auto"/>
      <w:sz w:val="24"/>
      <w:szCs w:val="20"/>
      <w:lang w:val="en-GB"/>
    </w:rPr>
  </w:style>
  <w:style w:type="paragraph" w:customStyle="1" w:styleId="H23G">
    <w:name w:val="_ H_2/3_G"/>
    <w:basedOn w:val="Normaali"/>
    <w:next w:val="Normaali"/>
    <w:rsid w:val="00803970"/>
    <w:pPr>
      <w:keepNext/>
      <w:keepLines/>
      <w:widowControl/>
      <w:tabs>
        <w:tab w:val="right" w:pos="851"/>
      </w:tabs>
      <w:suppressAutoHyphens/>
      <w:spacing w:before="240" w:after="120"/>
      <w:ind w:left="1134" w:right="1134" w:hanging="1134"/>
      <w:outlineLvl w:val="3"/>
    </w:pPr>
    <w:rPr>
      <w:rFonts w:ascii="Times New Roman" w:eastAsia="Times New Roman" w:hAnsi="Times New Roman"/>
      <w:b/>
      <w:color w:val="auto"/>
      <w:sz w:val="20"/>
      <w:szCs w:val="20"/>
      <w:lang w:val="en-GB"/>
    </w:rPr>
  </w:style>
  <w:style w:type="paragraph" w:customStyle="1" w:styleId="SingleTxtG">
    <w:name w:val="_ Single Txt_G"/>
    <w:basedOn w:val="Normaali"/>
    <w:rsid w:val="00803970"/>
    <w:pPr>
      <w:widowControl/>
      <w:tabs>
        <w:tab w:val="left" w:pos="1701"/>
        <w:tab w:val="left" w:pos="2268"/>
      </w:tabs>
      <w:suppressAutoHyphens/>
      <w:spacing w:after="120" w:line="240" w:lineRule="atLeast"/>
      <w:ind w:left="1134" w:right="1134"/>
      <w:jc w:val="both"/>
    </w:pPr>
    <w:rPr>
      <w:rFonts w:ascii="Times New Roman" w:eastAsia="SimSun" w:hAnsi="Times New Roman"/>
      <w:color w:val="auto"/>
      <w:sz w:val="20"/>
      <w:szCs w:val="20"/>
      <w:lang w:val="en-GB" w:eastAsia="zh-CN"/>
    </w:rPr>
  </w:style>
  <w:style w:type="table" w:styleId="TaulukkoRuudukko">
    <w:name w:val="Table Grid"/>
    <w:basedOn w:val="Normaalitaulukko"/>
    <w:rsid w:val="00803970"/>
    <w:pPr>
      <w:suppressAutoHyphens/>
      <w:spacing w:line="240" w:lineRule="atLeast"/>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697EAD"/>
    <w:rPr>
      <w:color w:val="800080" w:themeColor="followedHyperlink"/>
      <w:u w:val="single"/>
    </w:rPr>
  </w:style>
  <w:style w:type="paragraph" w:styleId="Muutos">
    <w:name w:val="Revision"/>
    <w:hidden/>
    <w:uiPriority w:val="71"/>
    <w:semiHidden/>
    <w:rsid w:val="000336CD"/>
    <w:rPr>
      <w:color w:val="000000"/>
      <w:sz w:val="18"/>
      <w:szCs w:val="22"/>
      <w:lang w:eastAsia="en-US"/>
    </w:rPr>
  </w:style>
  <w:style w:type="paragraph" w:styleId="Sisllysluettelonotsikko">
    <w:name w:val="TOC Heading"/>
    <w:basedOn w:val="Otsikko1"/>
    <w:next w:val="Normaali"/>
    <w:uiPriority w:val="39"/>
    <w:unhideWhenUsed/>
    <w:qFormat/>
    <w:rsid w:val="00C760E2"/>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Sisluet1">
    <w:name w:val="toc 1"/>
    <w:basedOn w:val="Normaali"/>
    <w:next w:val="Normaali"/>
    <w:autoRedefine/>
    <w:uiPriority w:val="39"/>
    <w:unhideWhenUsed/>
    <w:rsid w:val="00C760E2"/>
    <w:pPr>
      <w:spacing w:after="100"/>
    </w:pPr>
  </w:style>
  <w:style w:type="paragraph" w:styleId="Sisluet2">
    <w:name w:val="toc 2"/>
    <w:basedOn w:val="Normaali"/>
    <w:next w:val="Normaali"/>
    <w:autoRedefine/>
    <w:uiPriority w:val="39"/>
    <w:unhideWhenUsed/>
    <w:rsid w:val="00C760E2"/>
    <w:pPr>
      <w:spacing w:after="100"/>
      <w:ind w:left="180"/>
    </w:pPr>
  </w:style>
  <w:style w:type="paragraph" w:styleId="Sisluet3">
    <w:name w:val="toc 3"/>
    <w:basedOn w:val="Normaali"/>
    <w:next w:val="Normaali"/>
    <w:autoRedefine/>
    <w:uiPriority w:val="39"/>
    <w:unhideWhenUsed/>
    <w:rsid w:val="00C760E2"/>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75765">
      <w:bodyDiv w:val="1"/>
      <w:marLeft w:val="0"/>
      <w:marRight w:val="0"/>
      <w:marTop w:val="0"/>
      <w:marBottom w:val="0"/>
      <w:divBdr>
        <w:top w:val="none" w:sz="0" w:space="0" w:color="auto"/>
        <w:left w:val="none" w:sz="0" w:space="0" w:color="auto"/>
        <w:bottom w:val="none" w:sz="0" w:space="0" w:color="auto"/>
        <w:right w:val="none" w:sz="0" w:space="0" w:color="auto"/>
      </w:divBdr>
    </w:div>
    <w:div w:id="464858101">
      <w:bodyDiv w:val="1"/>
      <w:marLeft w:val="0"/>
      <w:marRight w:val="0"/>
      <w:marTop w:val="0"/>
      <w:marBottom w:val="0"/>
      <w:divBdr>
        <w:top w:val="none" w:sz="0" w:space="0" w:color="auto"/>
        <w:left w:val="none" w:sz="0" w:space="0" w:color="auto"/>
        <w:bottom w:val="none" w:sz="0" w:space="0" w:color="auto"/>
        <w:right w:val="none" w:sz="0" w:space="0" w:color="auto"/>
      </w:divBdr>
    </w:div>
    <w:div w:id="522399153">
      <w:bodyDiv w:val="1"/>
      <w:marLeft w:val="0"/>
      <w:marRight w:val="0"/>
      <w:marTop w:val="0"/>
      <w:marBottom w:val="0"/>
      <w:divBdr>
        <w:top w:val="none" w:sz="0" w:space="0" w:color="auto"/>
        <w:left w:val="none" w:sz="0" w:space="0" w:color="auto"/>
        <w:bottom w:val="none" w:sz="0" w:space="0" w:color="auto"/>
        <w:right w:val="none" w:sz="0" w:space="0" w:color="auto"/>
      </w:divBdr>
      <w:divsChild>
        <w:div w:id="1780484391">
          <w:marLeft w:val="0"/>
          <w:marRight w:val="0"/>
          <w:marTop w:val="0"/>
          <w:marBottom w:val="0"/>
          <w:divBdr>
            <w:top w:val="none" w:sz="0" w:space="0" w:color="auto"/>
            <w:left w:val="none" w:sz="0" w:space="0" w:color="auto"/>
            <w:bottom w:val="none" w:sz="0" w:space="0" w:color="auto"/>
            <w:right w:val="none" w:sz="0" w:space="0" w:color="auto"/>
          </w:divBdr>
          <w:divsChild>
            <w:div w:id="2030905236">
              <w:marLeft w:val="0"/>
              <w:marRight w:val="0"/>
              <w:marTop w:val="0"/>
              <w:marBottom w:val="0"/>
              <w:divBdr>
                <w:top w:val="none" w:sz="0" w:space="0" w:color="auto"/>
                <w:left w:val="none" w:sz="0" w:space="0" w:color="auto"/>
                <w:bottom w:val="none" w:sz="0" w:space="0" w:color="auto"/>
                <w:right w:val="none" w:sz="0" w:space="0" w:color="auto"/>
              </w:divBdr>
              <w:divsChild>
                <w:div w:id="2069500305">
                  <w:marLeft w:val="0"/>
                  <w:marRight w:val="0"/>
                  <w:marTop w:val="0"/>
                  <w:marBottom w:val="0"/>
                  <w:divBdr>
                    <w:top w:val="none" w:sz="0" w:space="0" w:color="auto"/>
                    <w:left w:val="none" w:sz="0" w:space="0" w:color="auto"/>
                    <w:bottom w:val="none" w:sz="0" w:space="0" w:color="auto"/>
                    <w:right w:val="none" w:sz="0" w:space="0" w:color="auto"/>
                  </w:divBdr>
                  <w:divsChild>
                    <w:div w:id="1912151719">
                      <w:marLeft w:val="0"/>
                      <w:marRight w:val="0"/>
                      <w:marTop w:val="0"/>
                      <w:marBottom w:val="0"/>
                      <w:divBdr>
                        <w:top w:val="none" w:sz="0" w:space="0" w:color="auto"/>
                        <w:left w:val="none" w:sz="0" w:space="0" w:color="auto"/>
                        <w:bottom w:val="none" w:sz="0" w:space="0" w:color="auto"/>
                        <w:right w:val="none" w:sz="0" w:space="0" w:color="auto"/>
                      </w:divBdr>
                      <w:divsChild>
                        <w:div w:id="1549218529">
                          <w:marLeft w:val="0"/>
                          <w:marRight w:val="0"/>
                          <w:marTop w:val="0"/>
                          <w:marBottom w:val="0"/>
                          <w:divBdr>
                            <w:top w:val="none" w:sz="0" w:space="0" w:color="auto"/>
                            <w:left w:val="none" w:sz="0" w:space="0" w:color="auto"/>
                            <w:bottom w:val="none" w:sz="0" w:space="0" w:color="auto"/>
                            <w:right w:val="none" w:sz="0" w:space="0" w:color="auto"/>
                          </w:divBdr>
                          <w:divsChild>
                            <w:div w:id="1389232864">
                              <w:marLeft w:val="0"/>
                              <w:marRight w:val="0"/>
                              <w:marTop w:val="0"/>
                              <w:marBottom w:val="0"/>
                              <w:divBdr>
                                <w:top w:val="none" w:sz="0" w:space="0" w:color="auto"/>
                                <w:left w:val="none" w:sz="0" w:space="0" w:color="auto"/>
                                <w:bottom w:val="none" w:sz="0" w:space="0" w:color="auto"/>
                                <w:right w:val="none" w:sz="0" w:space="0" w:color="auto"/>
                              </w:divBdr>
                              <w:divsChild>
                                <w:div w:id="177163028">
                                  <w:marLeft w:val="0"/>
                                  <w:marRight w:val="0"/>
                                  <w:marTop w:val="0"/>
                                  <w:marBottom w:val="0"/>
                                  <w:divBdr>
                                    <w:top w:val="none" w:sz="0" w:space="0" w:color="auto"/>
                                    <w:left w:val="none" w:sz="0" w:space="0" w:color="auto"/>
                                    <w:bottom w:val="none" w:sz="0" w:space="0" w:color="auto"/>
                                    <w:right w:val="none" w:sz="0" w:space="0" w:color="auto"/>
                                  </w:divBdr>
                                  <w:divsChild>
                                    <w:div w:id="405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836386">
      <w:bodyDiv w:val="1"/>
      <w:marLeft w:val="0"/>
      <w:marRight w:val="0"/>
      <w:marTop w:val="0"/>
      <w:marBottom w:val="0"/>
      <w:divBdr>
        <w:top w:val="none" w:sz="0" w:space="0" w:color="auto"/>
        <w:left w:val="none" w:sz="0" w:space="0" w:color="auto"/>
        <w:bottom w:val="none" w:sz="0" w:space="0" w:color="auto"/>
        <w:right w:val="none" w:sz="0" w:space="0" w:color="auto"/>
      </w:divBdr>
    </w:div>
    <w:div w:id="1241789608">
      <w:bodyDiv w:val="1"/>
      <w:marLeft w:val="0"/>
      <w:marRight w:val="0"/>
      <w:marTop w:val="0"/>
      <w:marBottom w:val="0"/>
      <w:divBdr>
        <w:top w:val="none" w:sz="0" w:space="0" w:color="auto"/>
        <w:left w:val="none" w:sz="0" w:space="0" w:color="auto"/>
        <w:bottom w:val="none" w:sz="0" w:space="0" w:color="auto"/>
        <w:right w:val="none" w:sz="0" w:space="0" w:color="auto"/>
      </w:divBdr>
    </w:div>
    <w:div w:id="2032602663">
      <w:bodyDiv w:val="1"/>
      <w:marLeft w:val="0"/>
      <w:marRight w:val="0"/>
      <w:marTop w:val="0"/>
      <w:marBottom w:val="0"/>
      <w:divBdr>
        <w:top w:val="none" w:sz="0" w:space="0" w:color="auto"/>
        <w:left w:val="none" w:sz="0" w:space="0" w:color="auto"/>
        <w:bottom w:val="none" w:sz="0" w:space="0" w:color="auto"/>
        <w:right w:val="none" w:sz="0" w:space="0" w:color="auto"/>
      </w:divBdr>
      <w:divsChild>
        <w:div w:id="1456481629">
          <w:marLeft w:val="0"/>
          <w:marRight w:val="0"/>
          <w:marTop w:val="0"/>
          <w:marBottom w:val="75"/>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valtioneuvosto.fi/-/10616/lahisuhdevakivalta-aiheuttaa-tutkimuksen-mukaan-merkittavasti-kustannuksia-terveys-sosiaali-ja-oikeuspalveluis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ikeusasiamies.fi/r/fi/ratkaisut/-/eoar/5820/2022" TargetMode="External"/><Relationship Id="rId2" Type="http://schemas.openxmlformats.org/officeDocument/2006/relationships/numbering" Target="numbering.xml"/><Relationship Id="rId16" Type="http://schemas.openxmlformats.org/officeDocument/2006/relationships/hyperlink" Target="https://oikeuskansleri.fi/-/apulaisoikeuskansleri-mikko-puumalainen-poliisilla-merkittavia-laiminlyonteja-lahisuhdevakivallan-ja-seksuaalirikosten-rikostutkinnoiss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eena.leikas@humanrightscentre.fileena" TargetMode="External"/><Relationship Id="rId10" Type="http://schemas.openxmlformats.org/officeDocument/2006/relationships/footer" Target="footer1.xml"/><Relationship Id="rId19" Type="http://schemas.openxmlformats.org/officeDocument/2006/relationships/hyperlink" Target="https://www.kho.fi/fi/index/paatokset/vuosikirjapaatokset/1700221544419.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ventionviolence@coe.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1409</Words>
  <Characters>11420</Characters>
  <Application>Microsoft Office Word</Application>
  <DocSecurity>0</DocSecurity>
  <Lines>95</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dc:description/>
  <cp:lastModifiedBy>Leikas Leena</cp:lastModifiedBy>
  <cp:revision>3</cp:revision>
  <cp:lastPrinted>2018-02-20T08:17:00Z</cp:lastPrinted>
  <dcterms:created xsi:type="dcterms:W3CDTF">2023-12-14T21:20:00Z</dcterms:created>
  <dcterms:modified xsi:type="dcterms:W3CDTF">2023-12-18T11:00:00Z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