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762E8" w14:textId="617EC3DE" w:rsidR="00AD4261" w:rsidRDefault="0058613D">
      <w:pPr>
        <w:rPr>
          <w:rFonts w:ascii="Arial" w:hAnsi="Arial"/>
        </w:rPr>
      </w:pPr>
      <w:r>
        <w:rPr>
          <w:rFonts w:ascii="Arial" w:hAnsi="Arial"/>
        </w:rPr>
        <w:t>STÄLLNINGSTAGANDE 18</w:t>
      </w:r>
      <w:r w:rsidR="00AD4261">
        <w:rPr>
          <w:rFonts w:ascii="Arial" w:hAnsi="Arial"/>
        </w:rPr>
        <w:t>.6.2013</w:t>
      </w:r>
    </w:p>
    <w:p w14:paraId="572D1149" w14:textId="77777777" w:rsidR="0058613D" w:rsidRDefault="0058613D">
      <w:pPr>
        <w:rPr>
          <w:rFonts w:ascii="Arial" w:hAnsi="Arial"/>
          <w:b/>
        </w:rPr>
      </w:pPr>
    </w:p>
    <w:p w14:paraId="038A4982" w14:textId="77777777" w:rsidR="00AD4261" w:rsidRDefault="00AD4261">
      <w:pPr>
        <w:rPr>
          <w:rFonts w:ascii="Arial" w:hAnsi="Arial"/>
          <w:b/>
        </w:rPr>
      </w:pPr>
      <w:r>
        <w:rPr>
          <w:rFonts w:ascii="Arial" w:hAnsi="Arial"/>
          <w:b/>
        </w:rPr>
        <w:t>Människorättsdelegationen: Skyddet mot diskriminering får inte till någon del försvagas</w:t>
      </w:r>
    </w:p>
    <w:p w14:paraId="6B32B101" w14:textId="77777777" w:rsidR="00AD4261" w:rsidRDefault="00AD4261">
      <w:pPr>
        <w:rPr>
          <w:rFonts w:ascii="Arial" w:hAnsi="Arial"/>
          <w:b/>
        </w:rPr>
      </w:pPr>
    </w:p>
    <w:p w14:paraId="12BD56B9" w14:textId="77777777" w:rsidR="00AD4261" w:rsidRDefault="00AD4261" w:rsidP="00313B76">
      <w:pPr>
        <w:jc w:val="both"/>
        <w:rPr>
          <w:rFonts w:ascii="Arial" w:hAnsi="Arial"/>
          <w:b/>
        </w:rPr>
      </w:pPr>
      <w:r>
        <w:rPr>
          <w:rFonts w:ascii="Arial" w:hAnsi="Arial"/>
          <w:b/>
        </w:rPr>
        <w:t>Reformerna av likabehandlings- och jämställdhetslagstiftningen är välkomna och viktiga projekt som bör genomföras utan dröjsmål. Människorättsdelega</w:t>
      </w:r>
      <w:r>
        <w:rPr>
          <w:rFonts w:ascii="Arial" w:hAnsi="Arial"/>
          <w:b/>
        </w:rPr>
        <w:t>t</w:t>
      </w:r>
      <w:r>
        <w:rPr>
          <w:rFonts w:ascii="Arial" w:hAnsi="Arial"/>
          <w:b/>
        </w:rPr>
        <w:t>ionen är dock bekymrad för att skyddet mot diskriminering försvagas. Delega</w:t>
      </w:r>
      <w:r>
        <w:rPr>
          <w:rFonts w:ascii="Arial" w:hAnsi="Arial"/>
          <w:b/>
        </w:rPr>
        <w:t>t</w:t>
      </w:r>
      <w:r>
        <w:rPr>
          <w:rFonts w:ascii="Arial" w:hAnsi="Arial"/>
          <w:b/>
        </w:rPr>
        <w:t>ionen anser det nödvändigt att tillräcklig finansiering ordnas för reformen av likabehandlingslagen och jämställdhetslagen.</w:t>
      </w:r>
    </w:p>
    <w:p w14:paraId="04B4A54B" w14:textId="77777777" w:rsidR="00AD4261" w:rsidRDefault="00AD4261" w:rsidP="00313B76">
      <w:pPr>
        <w:jc w:val="both"/>
        <w:rPr>
          <w:rFonts w:ascii="Arial" w:hAnsi="Arial"/>
          <w:b/>
        </w:rPr>
      </w:pPr>
    </w:p>
    <w:p w14:paraId="2135D68F" w14:textId="77777777" w:rsidR="00AD4261" w:rsidRDefault="00AD4261" w:rsidP="00313B76">
      <w:pPr>
        <w:jc w:val="both"/>
        <w:rPr>
          <w:rFonts w:ascii="Arial" w:hAnsi="Arial"/>
        </w:rPr>
      </w:pPr>
      <w:r>
        <w:rPr>
          <w:rFonts w:ascii="Arial" w:hAnsi="Arial"/>
        </w:rPr>
        <w:t>Utkastet till ny diskrimineringslag behandlar de olika diskrimineringsgrunderna mer lika än vad hittills har varit fallet. Att det inrättas en befattning som diskriminering</w:t>
      </w:r>
      <w:r>
        <w:rPr>
          <w:rFonts w:ascii="Arial" w:hAnsi="Arial"/>
        </w:rPr>
        <w:t>s</w:t>
      </w:r>
      <w:r>
        <w:rPr>
          <w:rFonts w:ascii="Arial" w:hAnsi="Arial"/>
        </w:rPr>
        <w:t>ombudsman med kompetens som gäller alla diskrimineringsgrunder innebär att det erbjuds en låg tröskel för den som råkat ut för diskriminering att ta kontakt för att få råd och hjälp. Förslaget når dock inte målet att alla diskrimineringsgrunder borde ha så att säga samma utgångsläge.</w:t>
      </w:r>
    </w:p>
    <w:p w14:paraId="2974FB26" w14:textId="77777777" w:rsidR="00AD4261" w:rsidRDefault="00AD4261" w:rsidP="00313B76">
      <w:pPr>
        <w:jc w:val="both"/>
        <w:rPr>
          <w:rFonts w:ascii="Arial" w:hAnsi="Arial"/>
        </w:rPr>
      </w:pPr>
    </w:p>
    <w:p w14:paraId="07D3BA6C" w14:textId="77777777" w:rsidR="00AD4261" w:rsidRDefault="00AD4261" w:rsidP="00313B76">
      <w:pPr>
        <w:jc w:val="both"/>
        <w:rPr>
          <w:rFonts w:ascii="Arial" w:hAnsi="Arial"/>
        </w:rPr>
      </w:pPr>
      <w:r>
        <w:rPr>
          <w:rFonts w:ascii="Arial" w:hAnsi="Arial"/>
        </w:rPr>
        <w:t>Utkastet innehåller problematiska formuleringar om begreppet direkt diskriminering och de grunder som berättigar särbehandling. De grunder som berättigar särbehan</w:t>
      </w:r>
      <w:r>
        <w:rPr>
          <w:rFonts w:ascii="Arial" w:hAnsi="Arial"/>
        </w:rPr>
        <w:t>d</w:t>
      </w:r>
      <w:r>
        <w:rPr>
          <w:rFonts w:ascii="Arial" w:hAnsi="Arial"/>
        </w:rPr>
        <w:t>ling har utformats alltför vagt. Om förbudet mot diskriminering urvattnas genom att man tillåter särbehandling i vissa situationer, borde detta begränsas till enbart de s</w:t>
      </w:r>
      <w:r>
        <w:rPr>
          <w:rFonts w:ascii="Arial" w:hAnsi="Arial"/>
        </w:rPr>
        <w:t>i</w:t>
      </w:r>
      <w:r>
        <w:rPr>
          <w:rFonts w:ascii="Arial" w:hAnsi="Arial"/>
        </w:rPr>
        <w:t>tuationer och de diskrimineringsgrunder där det är nödvändigt (så som andra perso</w:t>
      </w:r>
      <w:r>
        <w:rPr>
          <w:rFonts w:ascii="Arial" w:hAnsi="Arial"/>
        </w:rPr>
        <w:t>n</w:t>
      </w:r>
      <w:r>
        <w:rPr>
          <w:rFonts w:ascii="Arial" w:hAnsi="Arial"/>
        </w:rPr>
        <w:t>relaterade orsaker när det är fråga om utbud av tjänster). Innan lagen antas borde dessa punkter omformuleras med beaktande av grundlagsutskottets praxis. Diskrim</w:t>
      </w:r>
      <w:r>
        <w:rPr>
          <w:rFonts w:ascii="Arial" w:hAnsi="Arial"/>
        </w:rPr>
        <w:t>i</w:t>
      </w:r>
      <w:r>
        <w:rPr>
          <w:rFonts w:ascii="Arial" w:hAnsi="Arial"/>
        </w:rPr>
        <w:t>neringsförbudet måste uppfylla definitionen i de människorättsfördrag som binder Finland. I lagens ändamålsparagraf bör man inte slopa kravet på att rättsskyddet ska effektiviseras.</w:t>
      </w:r>
    </w:p>
    <w:p w14:paraId="60A37E00" w14:textId="77777777" w:rsidR="00AD4261" w:rsidRDefault="00AD4261" w:rsidP="00313B76">
      <w:pPr>
        <w:jc w:val="both"/>
        <w:rPr>
          <w:rFonts w:ascii="Arial" w:hAnsi="Arial"/>
        </w:rPr>
      </w:pPr>
    </w:p>
    <w:p w14:paraId="7B25ABC0" w14:textId="77777777" w:rsidR="00AD4261" w:rsidRDefault="00AD4261" w:rsidP="00313B76">
      <w:pPr>
        <w:jc w:val="both"/>
        <w:rPr>
          <w:rFonts w:ascii="Arial" w:hAnsi="Arial"/>
        </w:rPr>
      </w:pPr>
      <w:r>
        <w:rPr>
          <w:rFonts w:ascii="Arial" w:hAnsi="Arial"/>
        </w:rPr>
        <w:t>En reform av jämställdhetslagen brådskar så att man för första gången förbjuder di</w:t>
      </w:r>
      <w:r>
        <w:rPr>
          <w:rFonts w:ascii="Arial" w:hAnsi="Arial"/>
        </w:rPr>
        <w:t>s</w:t>
      </w:r>
      <w:r>
        <w:rPr>
          <w:rFonts w:ascii="Arial" w:hAnsi="Arial"/>
        </w:rPr>
        <w:t>kriminering på grund av könsidentitet och könsuttryck och förpliktar myndigheterna, arbetsgivarna och utbildningsanordnarna att främja jämställdhet mellan sexuella m</w:t>
      </w:r>
      <w:r>
        <w:rPr>
          <w:rFonts w:ascii="Arial" w:hAnsi="Arial"/>
        </w:rPr>
        <w:t>i</w:t>
      </w:r>
      <w:r>
        <w:rPr>
          <w:rFonts w:ascii="Arial" w:hAnsi="Arial"/>
        </w:rPr>
        <w:t>noriteter. Människorättsdelegationen hoppas att regeringen överlämnar sin proposi</w:t>
      </w:r>
      <w:r>
        <w:rPr>
          <w:rFonts w:ascii="Arial" w:hAnsi="Arial"/>
        </w:rPr>
        <w:t>t</w:t>
      </w:r>
      <w:r>
        <w:rPr>
          <w:rFonts w:ascii="Arial" w:hAnsi="Arial"/>
        </w:rPr>
        <w:t>ion om en reform av likabehandlingslagen och jämställdhetslagen som ett enda p</w:t>
      </w:r>
      <w:r>
        <w:rPr>
          <w:rFonts w:ascii="Arial" w:hAnsi="Arial"/>
        </w:rPr>
        <w:t>a</w:t>
      </w:r>
      <w:r>
        <w:rPr>
          <w:rFonts w:ascii="Arial" w:hAnsi="Arial"/>
        </w:rPr>
        <w:t>ket.</w:t>
      </w:r>
    </w:p>
    <w:p w14:paraId="6F3AD836" w14:textId="77777777" w:rsidR="00AD4261" w:rsidRDefault="00AD4261" w:rsidP="00313B76">
      <w:pPr>
        <w:jc w:val="both"/>
        <w:rPr>
          <w:rFonts w:ascii="Arial" w:hAnsi="Arial"/>
        </w:rPr>
      </w:pPr>
    </w:p>
    <w:p w14:paraId="3F858C60" w14:textId="77777777" w:rsidR="00AD4261" w:rsidRDefault="00AD4261" w:rsidP="00313B76">
      <w:pPr>
        <w:jc w:val="both"/>
        <w:rPr>
          <w:rFonts w:ascii="Arial" w:hAnsi="Arial"/>
        </w:rPr>
      </w:pPr>
      <w:r>
        <w:rPr>
          <w:rFonts w:ascii="Arial" w:hAnsi="Arial"/>
        </w:rPr>
        <w:t>Man måste se till att den nya diskrimineringsombudsmannen blir självständig och oavhängig. Diskrimineringsombudsmannen och jämställdhetsombudsmannen måste få tillräcklig finansiering och nya experttjänster för det växande antalet uppgifter. Di</w:t>
      </w:r>
      <w:r>
        <w:rPr>
          <w:rFonts w:ascii="Arial" w:hAnsi="Arial"/>
        </w:rPr>
        <w:t>s</w:t>
      </w:r>
      <w:r>
        <w:rPr>
          <w:rFonts w:ascii="Arial" w:hAnsi="Arial"/>
        </w:rPr>
        <w:t>krimineringsombudsmannens nya uppgifter får inte försvaga möjligheterna att sköta den nuvarande uppgiften att försvara och främja etniska minoriteters rättigheter och samernas rättigheter i egenskap av ursprungsbefolkning. Myndigheterna, utbil</w:t>
      </w:r>
      <w:r>
        <w:rPr>
          <w:rFonts w:ascii="Arial" w:hAnsi="Arial"/>
        </w:rPr>
        <w:t>d</w:t>
      </w:r>
      <w:r>
        <w:rPr>
          <w:rFonts w:ascii="Arial" w:hAnsi="Arial"/>
        </w:rPr>
        <w:t>ningsanordnarna och arbetsgivarna behöver också sättas in i saken så att reforme</w:t>
      </w:r>
      <w:r>
        <w:rPr>
          <w:rFonts w:ascii="Arial" w:hAnsi="Arial"/>
        </w:rPr>
        <w:t>r</w:t>
      </w:r>
      <w:r>
        <w:rPr>
          <w:rFonts w:ascii="Arial" w:hAnsi="Arial"/>
        </w:rPr>
        <w:t>na inte blir en död bokstav på arbetsplatserna, i utbudet av tjänster, i skolorna och andra läroanstalter. Det måste också vara möjligt att ingripa i trakasserier på Internet. Begriplig information om reformerna bör ges till en bred publik så att informationen når olika målgrupper, inklusive olika språkgrupper, barn och unga.</w:t>
      </w:r>
    </w:p>
    <w:p w14:paraId="016702FD" w14:textId="77777777" w:rsidR="00AD4261" w:rsidRDefault="00AD4261" w:rsidP="00313B76">
      <w:pPr>
        <w:jc w:val="both"/>
        <w:rPr>
          <w:rFonts w:ascii="Arial" w:hAnsi="Arial"/>
        </w:rPr>
      </w:pPr>
    </w:p>
    <w:p w14:paraId="67EA5BA8" w14:textId="77777777" w:rsidR="00AD4261" w:rsidRDefault="00AD4261" w:rsidP="00313B76">
      <w:pPr>
        <w:jc w:val="both"/>
        <w:rPr>
          <w:rFonts w:ascii="Arial" w:hAnsi="Arial"/>
        </w:rPr>
      </w:pPr>
      <w:r>
        <w:rPr>
          <w:rFonts w:ascii="Arial" w:hAnsi="Arial"/>
        </w:rPr>
        <w:t>Även om utkastet till diskrimineringslag förenhetligar skyddet mot diskriminering kvarstår fortfarande oenhetlighet i regleringen av rättsskyddsmedlen. Människorätt</w:t>
      </w:r>
      <w:r>
        <w:rPr>
          <w:rFonts w:ascii="Arial" w:hAnsi="Arial"/>
        </w:rPr>
        <w:t>s</w:t>
      </w:r>
      <w:r>
        <w:rPr>
          <w:rFonts w:ascii="Arial" w:hAnsi="Arial"/>
        </w:rPr>
        <w:lastRenderedPageBreak/>
        <w:t>delegationen föreslår att man såväl i diskrimineringslagen som i jämställdhetslagen skriver in handlingsregler när det är fråga om diskriminering som sker på flera gru</w:t>
      </w:r>
      <w:r>
        <w:rPr>
          <w:rFonts w:ascii="Arial" w:hAnsi="Arial"/>
        </w:rPr>
        <w:t>n</w:t>
      </w:r>
      <w:r>
        <w:rPr>
          <w:rFonts w:ascii="Arial" w:hAnsi="Arial"/>
        </w:rPr>
        <w:t>der samtidigt. Övervakningen av diskriminering i arbetslivet bör dessutom göras e</w:t>
      </w:r>
      <w:r>
        <w:rPr>
          <w:rFonts w:ascii="Arial" w:hAnsi="Arial"/>
        </w:rPr>
        <w:t>f</w:t>
      </w:r>
      <w:r>
        <w:rPr>
          <w:rFonts w:ascii="Arial" w:hAnsi="Arial"/>
        </w:rPr>
        <w:t>fektivare när det gäller diskrimineringslagen. Diskrimineringsombudsmannen bör ha möjlighet att bedöma diskriminering i arbetslivet.</w:t>
      </w:r>
    </w:p>
    <w:p w14:paraId="24CB1B45" w14:textId="77777777" w:rsidR="00AD4261" w:rsidRDefault="00AD4261" w:rsidP="00313B76">
      <w:pPr>
        <w:jc w:val="both"/>
        <w:rPr>
          <w:rFonts w:ascii="Arial" w:hAnsi="Arial"/>
        </w:rPr>
      </w:pPr>
    </w:p>
    <w:p w14:paraId="1EE1DFD7" w14:textId="77777777" w:rsidR="00AD4261" w:rsidRDefault="00AD4261" w:rsidP="00313B76">
      <w:pPr>
        <w:jc w:val="both"/>
        <w:rPr>
          <w:rFonts w:ascii="Arial" w:hAnsi="Arial"/>
        </w:rPr>
      </w:pPr>
      <w:r>
        <w:rPr>
          <w:rFonts w:ascii="Arial" w:hAnsi="Arial"/>
        </w:rPr>
        <w:t>I båda lagreformerna är det skäl att beakta rätten enligt de internationella fördragen om de mänskliga rättigheterna att delta, påverka och bli hörd. Reformen bör främja minderårigas möjlighet att självständigt anföra klagomål och att ta kontakt med di</w:t>
      </w:r>
      <w:r>
        <w:rPr>
          <w:rFonts w:ascii="Arial" w:hAnsi="Arial"/>
        </w:rPr>
        <w:t>s</w:t>
      </w:r>
      <w:r>
        <w:rPr>
          <w:rFonts w:ascii="Arial" w:hAnsi="Arial"/>
        </w:rPr>
        <w:t>krimineringsombudsmannen och jämställdhetsombudsmannen. När man i läroansta</w:t>
      </w:r>
      <w:r>
        <w:rPr>
          <w:rFonts w:ascii="Arial" w:hAnsi="Arial"/>
        </w:rPr>
        <w:t>l</w:t>
      </w:r>
      <w:r>
        <w:rPr>
          <w:rFonts w:ascii="Arial" w:hAnsi="Arial"/>
        </w:rPr>
        <w:t>terna gör upp likabehandlingsplaner räcker det inte att barnen ”hörs”, utan lagen bör förplikta till att barnens åsikter utreds. Likabehandlingsplaneringen bör utsträckas till förskolepedagogik. Planerna bör alltid utarbetas i samarbete mellan myndigheterna och andra intressenter.</w:t>
      </w:r>
    </w:p>
    <w:p w14:paraId="5A54F04E" w14:textId="77777777" w:rsidR="00AD4261" w:rsidRDefault="00AD4261" w:rsidP="00313B76">
      <w:pPr>
        <w:jc w:val="both"/>
        <w:rPr>
          <w:rFonts w:ascii="Arial" w:hAnsi="Arial"/>
        </w:rPr>
      </w:pPr>
    </w:p>
    <w:p w14:paraId="0793B8D4" w14:textId="77777777" w:rsidR="00AD4261" w:rsidRDefault="00AD4261" w:rsidP="00313B76">
      <w:pPr>
        <w:jc w:val="both"/>
        <w:rPr>
          <w:rFonts w:ascii="Arial" w:hAnsi="Arial"/>
          <w:b/>
        </w:rPr>
      </w:pPr>
      <w:r>
        <w:rPr>
          <w:rFonts w:ascii="Arial" w:hAnsi="Arial"/>
          <w:b/>
        </w:rPr>
        <w:t>Närmare information:</w:t>
      </w:r>
    </w:p>
    <w:p w14:paraId="49266459" w14:textId="77777777" w:rsidR="00AD4261" w:rsidRDefault="00AD4261" w:rsidP="00313B76">
      <w:pPr>
        <w:jc w:val="both"/>
        <w:rPr>
          <w:rFonts w:ascii="Arial" w:hAnsi="Arial"/>
          <w:b/>
        </w:rPr>
      </w:pPr>
      <w:r>
        <w:rPr>
          <w:rFonts w:ascii="Arial" w:hAnsi="Arial"/>
          <w:b/>
        </w:rPr>
        <w:t>Sirpa Rautio, Människorättsdelegationens ordförande, direktör för Människ</w:t>
      </w:r>
      <w:r>
        <w:rPr>
          <w:rFonts w:ascii="Arial" w:hAnsi="Arial"/>
          <w:b/>
        </w:rPr>
        <w:t>o</w:t>
      </w:r>
      <w:r>
        <w:rPr>
          <w:rFonts w:ascii="Arial" w:hAnsi="Arial"/>
          <w:b/>
        </w:rPr>
        <w:t>rättscentret, t</w:t>
      </w:r>
      <w:r w:rsidR="00E42C66">
        <w:rPr>
          <w:rFonts w:ascii="Arial" w:hAnsi="Arial"/>
          <w:b/>
        </w:rPr>
        <w:t>fn</w:t>
      </w:r>
      <w:r>
        <w:rPr>
          <w:rFonts w:ascii="Arial" w:hAnsi="Arial"/>
          <w:b/>
        </w:rPr>
        <w:t xml:space="preserve"> 09-432 3780</w:t>
      </w:r>
    </w:p>
    <w:p w14:paraId="60E4812C" w14:textId="77777777" w:rsidR="00AD4261" w:rsidRPr="00E42C66" w:rsidRDefault="00AD4261" w:rsidP="00313B76">
      <w:pPr>
        <w:jc w:val="both"/>
        <w:rPr>
          <w:rFonts w:ascii="Arial" w:hAnsi="Arial"/>
          <w:b/>
          <w:lang w:val="fi-FI"/>
        </w:rPr>
      </w:pPr>
      <w:r w:rsidRPr="00E42C66">
        <w:rPr>
          <w:rFonts w:ascii="Arial" w:hAnsi="Arial"/>
          <w:b/>
          <w:lang w:val="fi-FI"/>
        </w:rPr>
        <w:t xml:space="preserve">Kristiina Kouros, </w:t>
      </w:r>
      <w:proofErr w:type="spellStart"/>
      <w:r w:rsidRPr="00E42C66">
        <w:rPr>
          <w:rFonts w:ascii="Arial" w:hAnsi="Arial"/>
          <w:b/>
          <w:lang w:val="fi-FI"/>
        </w:rPr>
        <w:t>sakkunnig</w:t>
      </w:r>
      <w:proofErr w:type="spellEnd"/>
      <w:r w:rsidRPr="00E42C66">
        <w:rPr>
          <w:rFonts w:ascii="Arial" w:hAnsi="Arial"/>
          <w:b/>
          <w:lang w:val="fi-FI"/>
        </w:rPr>
        <w:t xml:space="preserve">, </w:t>
      </w:r>
      <w:proofErr w:type="spellStart"/>
      <w:r w:rsidRPr="00E42C66">
        <w:rPr>
          <w:rFonts w:ascii="Arial" w:hAnsi="Arial"/>
          <w:b/>
          <w:lang w:val="fi-FI"/>
        </w:rPr>
        <w:t>t</w:t>
      </w:r>
      <w:r w:rsidR="00E42C66">
        <w:rPr>
          <w:rFonts w:ascii="Arial" w:hAnsi="Arial"/>
          <w:b/>
          <w:lang w:val="fi-FI"/>
        </w:rPr>
        <w:t>fn</w:t>
      </w:r>
      <w:proofErr w:type="spellEnd"/>
      <w:r w:rsidRPr="00E42C66">
        <w:rPr>
          <w:rFonts w:ascii="Arial" w:hAnsi="Arial"/>
          <w:b/>
          <w:lang w:val="fi-FI"/>
        </w:rPr>
        <w:t xml:space="preserve"> 09-432 3782</w:t>
      </w:r>
    </w:p>
    <w:p w14:paraId="393C62D4" w14:textId="77777777" w:rsidR="00AD4261" w:rsidRPr="00E42C66" w:rsidRDefault="00AD4261" w:rsidP="00313B76">
      <w:pPr>
        <w:jc w:val="both"/>
        <w:rPr>
          <w:rFonts w:ascii="Arial" w:hAnsi="Arial"/>
          <w:b/>
          <w:lang w:val="fi-FI"/>
        </w:rPr>
      </w:pPr>
      <w:bookmarkStart w:id="0" w:name="_GoBack"/>
      <w:bookmarkEnd w:id="0"/>
    </w:p>
    <w:sectPr w:rsidR="00AD4261" w:rsidRPr="00E42C66" w:rsidSect="00313B76">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1304"/>
  <w:autoHyphenation/>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76"/>
    <w:rsid w:val="00020CCC"/>
    <w:rsid w:val="00313B76"/>
    <w:rsid w:val="004E21A6"/>
    <w:rsid w:val="0058613D"/>
    <w:rsid w:val="006253BB"/>
    <w:rsid w:val="006E78FC"/>
    <w:rsid w:val="006F1EFD"/>
    <w:rsid w:val="007115BC"/>
    <w:rsid w:val="00866E85"/>
    <w:rsid w:val="008E568E"/>
    <w:rsid w:val="00946860"/>
    <w:rsid w:val="00A416C8"/>
    <w:rsid w:val="00AD4261"/>
    <w:rsid w:val="00B95920"/>
    <w:rsid w:val="00C21FCC"/>
    <w:rsid w:val="00CD37F0"/>
    <w:rsid w:val="00E42C66"/>
    <w:rsid w:val="00F8104D"/>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70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fi-FI" w:eastAsia="fi-F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Pr>
      <w:sz w:val="24"/>
      <w:szCs w:val="24"/>
      <w:lang w:val="sv-SE"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rsid w:val="006F1EFD"/>
    <w:rPr>
      <w:rFonts w:ascii="Tahoma" w:hAnsi="Tahoma" w:cs="Tahoma"/>
      <w:sz w:val="16"/>
      <w:szCs w:val="16"/>
    </w:rPr>
  </w:style>
  <w:style w:type="character" w:customStyle="1" w:styleId="SelitetekstiChar">
    <w:name w:val="Seliteteksti Char"/>
    <w:basedOn w:val="Kappaleenoletusfontti"/>
    <w:link w:val="Seliteteksti"/>
    <w:uiPriority w:val="99"/>
    <w:semiHidden/>
    <w:rsid w:val="00677F9F"/>
    <w:rPr>
      <w:rFonts w:ascii="Times New Roman" w:hAnsi="Times New Roman"/>
      <w:sz w:val="0"/>
      <w:szCs w:val="0"/>
      <w:lang w:val="sv-S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fi-FI" w:eastAsia="fi-F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Pr>
      <w:sz w:val="24"/>
      <w:szCs w:val="24"/>
      <w:lang w:val="sv-SE"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rsid w:val="006F1EFD"/>
    <w:rPr>
      <w:rFonts w:ascii="Tahoma" w:hAnsi="Tahoma" w:cs="Tahoma"/>
      <w:sz w:val="16"/>
      <w:szCs w:val="16"/>
    </w:rPr>
  </w:style>
  <w:style w:type="character" w:customStyle="1" w:styleId="SelitetekstiChar">
    <w:name w:val="Seliteteksti Char"/>
    <w:basedOn w:val="Kappaleenoletusfontti"/>
    <w:link w:val="Seliteteksti"/>
    <w:uiPriority w:val="99"/>
    <w:semiHidden/>
    <w:rsid w:val="00677F9F"/>
    <w:rPr>
      <w:rFonts w:ascii="Times New Roman" w:hAnsi="Times New Roman"/>
      <w:sz w:val="0"/>
      <w:szCs w:val="0"/>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9F408-C704-4161-8CF5-2039ADB35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3796</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STÄLLNINGSTAGANDE XX</vt:lpstr>
    </vt:vector>
  </TitlesOfParts>
  <Company>Ashtanga Studio Prana</Company>
  <LinksUpToDate>false</LinksUpToDate>
  <CharactersWithSpaces>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STÄLLNINGSTAGANDE XX</dc:title>
  <dc:creator>Tove Palmgren</dc:creator>
  <cp:lastModifiedBy>Kouros Kristiina</cp:lastModifiedBy>
  <cp:revision>2</cp:revision>
  <dcterms:created xsi:type="dcterms:W3CDTF">2013-06-18T08:05:00Z</dcterms:created>
  <dcterms:modified xsi:type="dcterms:W3CDTF">2013-06-18T08:05:00Z</dcterms:modified>
</cp:coreProperties>
</file>