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rsidTr="00E54322">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rsidR="002D11B8" w:rsidRPr="009C5258" w:rsidRDefault="00556F19" w:rsidP="00E54322">
            <w:pPr>
              <w:ind w:left="-108"/>
              <w:jc w:val="center"/>
              <w:rPr>
                <w:rFonts w:ascii="Arial Narrow" w:hAnsi="Arial Narrow" w:cs="Arial"/>
                <w:szCs w:val="20"/>
              </w:rPr>
            </w:pPr>
            <w:r>
              <w:rPr>
                <w:rFonts w:ascii="Arial Narrow" w:hAnsi="Arial Narrow" w:cs="Calibri"/>
                <w:szCs w:val="20"/>
              </w:rPr>
              <w:t>Decisions</w:t>
            </w:r>
          </w:p>
        </w:tc>
        <w:bookmarkStart w:id="0" w:name="_ML_000000000000_VALID"/>
        <w:tc>
          <w:tcPr>
            <w:tcW w:w="1250" w:type="pct"/>
            <w:shd w:val="clear" w:color="auto" w:fill="auto"/>
            <w:vAlign w:val="center"/>
          </w:tcPr>
          <w:p w:rsidR="002D11B8" w:rsidRPr="00757EAC" w:rsidRDefault="00757EAC" w:rsidP="001D7AFE">
            <w:pPr>
              <w:ind w:left="-40"/>
              <w:jc w:val="center"/>
              <w:rPr>
                <w:rFonts w:ascii="Arial Narrow" w:hAnsi="Arial Narrow" w:cs="Arial"/>
                <w:b/>
                <w:sz w:val="22"/>
              </w:rPr>
            </w:pPr>
            <w:r w:rsidRPr="00757EAC">
              <w:rPr>
                <w:rFonts w:ascii="Arial Narrow" w:hAnsi="Arial Narrow" w:cs="Calibri"/>
                <w:b/>
                <w:sz w:val="22"/>
              </w:rPr>
              <w:fldChar w:fldCharType="begin"/>
            </w:r>
            <w:r w:rsidRPr="00757EAC">
              <w:rPr>
                <w:rFonts w:ascii="Arial Narrow" w:hAnsi="Arial Narrow" w:cs="Calibri"/>
                <w:b/>
                <w:sz w:val="22"/>
              </w:rPr>
              <w:instrText xml:space="preserve"> HYPERLINK "https://search.coe.int/cm/Pages/result_details.aspx?Reference=CM/Del/Dec(2018)1330/10.4e" \o "European Charter for Regional or Minority Languages - e. Strengthening the monitoring mechanism of the European Charter for Regional or Minority Languages" </w:instrText>
            </w:r>
            <w:r w:rsidRPr="00757EAC">
              <w:rPr>
                <w:rFonts w:ascii="Arial Narrow" w:hAnsi="Arial Narrow" w:cs="Calibri"/>
                <w:b/>
                <w:sz w:val="22"/>
              </w:rPr>
              <w:fldChar w:fldCharType="separate"/>
            </w:r>
            <w:bookmarkEnd w:id="0"/>
            <w:r w:rsidRPr="00757EAC">
              <w:rPr>
                <w:rStyle w:val="Hyperlink"/>
                <w:rFonts w:ascii="Arial Narrow" w:hAnsi="Arial Narrow" w:cs="Calibri"/>
                <w:b/>
                <w:sz w:val="22"/>
              </w:rPr>
              <w:t>CM/Del/Dec(2018)1330/10.4e</w:t>
            </w:r>
            <w:r w:rsidRPr="00757EAC">
              <w:rPr>
                <w:rFonts w:ascii="Arial Narrow" w:hAnsi="Arial Narrow" w:cs="Calibri"/>
                <w:b/>
                <w:sz w:val="22"/>
              </w:rPr>
              <w:fldChar w:fldCharType="end"/>
            </w:r>
          </w:p>
        </w:tc>
        <w:tc>
          <w:tcPr>
            <w:tcW w:w="1250" w:type="pct"/>
            <w:shd w:val="clear" w:color="auto" w:fill="auto"/>
            <w:vAlign w:val="center"/>
          </w:tcPr>
          <w:p w:rsidR="002D11B8" w:rsidRPr="00F96689" w:rsidRDefault="009B31B9" w:rsidP="009B31B9">
            <w:pPr>
              <w:jc w:val="right"/>
              <w:rPr>
                <w:rFonts w:ascii="Arial Narrow" w:hAnsi="Arial Narrow" w:cs="Arial"/>
                <w:sz w:val="16"/>
                <w:szCs w:val="16"/>
              </w:rPr>
            </w:pPr>
            <w:r>
              <w:rPr>
                <w:rFonts w:ascii="Arial Narrow" w:hAnsi="Arial Narrow" w:cs="Calibri"/>
                <w:sz w:val="16"/>
                <w:szCs w:val="16"/>
              </w:rPr>
              <w:t xml:space="preserve">28 November </w:t>
            </w:r>
            <w:r w:rsidR="002D11B8" w:rsidRPr="00F96689">
              <w:rPr>
                <w:rFonts w:ascii="Arial Narrow" w:hAnsi="Arial Narrow" w:cs="Calibri"/>
                <w:sz w:val="16"/>
                <w:szCs w:val="16"/>
              </w:rPr>
              <w:t>201</w:t>
            </w:r>
            <w:r w:rsidR="00B971B4">
              <w:rPr>
                <w:rFonts w:ascii="Arial Narrow" w:hAnsi="Arial Narrow" w:cs="Calibri"/>
                <w:sz w:val="16"/>
                <w:szCs w:val="16"/>
              </w:rPr>
              <w:t>8</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B32AEA" w:rsidTr="00E54322">
        <w:tc>
          <w:tcPr>
            <w:tcW w:w="9399" w:type="dxa"/>
            <w:shd w:val="clear" w:color="auto" w:fill="auto"/>
            <w:tcMar>
              <w:top w:w="227" w:type="dxa"/>
              <w:bottom w:w="227" w:type="dxa"/>
            </w:tcMar>
            <w:vAlign w:val="center"/>
          </w:tcPr>
          <w:p w:rsidR="00E24C57" w:rsidRPr="00B72A28" w:rsidRDefault="003D6AC2" w:rsidP="00E54322">
            <w:pPr>
              <w:widowControl w:val="0"/>
              <w:autoSpaceDE w:val="0"/>
              <w:autoSpaceDN w:val="0"/>
              <w:adjustRightInd w:val="0"/>
              <w:rPr>
                <w:rFonts w:ascii="Arial Narrow" w:hAnsi="Arial Narrow" w:cs="Calibri"/>
                <w:b/>
                <w:bCs/>
                <w:sz w:val="32"/>
                <w:szCs w:val="32"/>
              </w:rPr>
            </w:pPr>
            <w:r w:rsidRPr="00B72A28">
              <w:rPr>
                <w:rFonts w:ascii="Arial Narrow" w:hAnsi="Arial Narrow" w:cs="Calibri"/>
                <w:b/>
                <w:bCs/>
                <w:sz w:val="32"/>
                <w:szCs w:val="32"/>
              </w:rPr>
              <w:t>1</w:t>
            </w:r>
            <w:r w:rsidR="00524187">
              <w:rPr>
                <w:rFonts w:ascii="Arial Narrow" w:hAnsi="Arial Narrow" w:cs="Calibri"/>
                <w:b/>
                <w:bCs/>
                <w:sz w:val="32"/>
                <w:szCs w:val="32"/>
              </w:rPr>
              <w:t>3</w:t>
            </w:r>
            <w:r w:rsidR="00B971B4">
              <w:rPr>
                <w:rFonts w:ascii="Arial Narrow" w:hAnsi="Arial Narrow" w:cs="Calibri"/>
                <w:b/>
                <w:bCs/>
                <w:sz w:val="32"/>
                <w:szCs w:val="32"/>
              </w:rPr>
              <w:t>30</w:t>
            </w:r>
            <w:r w:rsidR="009432D0" w:rsidRPr="00B72A28">
              <w:rPr>
                <w:rFonts w:ascii="Arial Narrow" w:hAnsi="Arial Narrow" w:cs="Calibri"/>
                <w:b/>
                <w:bCs/>
                <w:sz w:val="32"/>
                <w:szCs w:val="32"/>
                <w:vertAlign w:val="superscript"/>
              </w:rPr>
              <w:t>th</w:t>
            </w:r>
            <w:r w:rsidRPr="00B72A28">
              <w:rPr>
                <w:rFonts w:ascii="Arial Narrow" w:hAnsi="Arial Narrow" w:cs="Calibri"/>
                <w:b/>
                <w:bCs/>
                <w:sz w:val="32"/>
                <w:szCs w:val="32"/>
              </w:rPr>
              <w:t xml:space="preserve"> meeting, </w:t>
            </w:r>
            <w:r w:rsidR="00B971B4">
              <w:rPr>
                <w:rFonts w:ascii="Arial Narrow" w:hAnsi="Arial Narrow" w:cs="Calibri"/>
                <w:b/>
                <w:bCs/>
                <w:sz w:val="32"/>
                <w:szCs w:val="32"/>
              </w:rPr>
              <w:t xml:space="preserve">28 November </w:t>
            </w:r>
            <w:r w:rsidRPr="00B72A28">
              <w:rPr>
                <w:rFonts w:ascii="Arial Narrow" w:hAnsi="Arial Narrow" w:cs="Calibri"/>
                <w:b/>
                <w:bCs/>
                <w:sz w:val="32"/>
                <w:szCs w:val="32"/>
              </w:rPr>
              <w:t>201</w:t>
            </w:r>
            <w:r w:rsidR="00B971B4">
              <w:rPr>
                <w:rFonts w:ascii="Arial Narrow" w:hAnsi="Arial Narrow" w:cs="Calibri"/>
                <w:b/>
                <w:bCs/>
                <w:sz w:val="32"/>
                <w:szCs w:val="32"/>
              </w:rPr>
              <w:t>8</w:t>
            </w:r>
          </w:p>
          <w:p w:rsidR="0037200F" w:rsidRPr="00B72A28" w:rsidRDefault="00CE6FD2" w:rsidP="00E54322">
            <w:pPr>
              <w:rPr>
                <w:rFonts w:ascii="Arial Narrow" w:hAnsi="Arial Narrow" w:cs="Calibri"/>
                <w:i/>
                <w:szCs w:val="20"/>
              </w:rPr>
            </w:pPr>
            <w:r w:rsidRPr="00B72A28">
              <w:rPr>
                <w:rFonts w:ascii="Arial Narrow" w:hAnsi="Arial Narrow" w:cs="Calibri"/>
                <w:i/>
                <w:szCs w:val="20"/>
              </w:rPr>
              <w:t xml:space="preserve"> </w:t>
            </w:r>
          </w:p>
          <w:p w:rsidR="00A01A4F" w:rsidRPr="00D73FF1" w:rsidRDefault="00A01A4F" w:rsidP="00A01A4F">
            <w:pPr>
              <w:rPr>
                <w:rFonts w:ascii="Arial Narrow" w:hAnsi="Arial Narrow" w:cs="Calibri"/>
                <w:b/>
                <w:sz w:val="28"/>
                <w:szCs w:val="28"/>
              </w:rPr>
            </w:pPr>
            <w:r w:rsidRPr="009E75FB">
              <w:rPr>
                <w:rFonts w:ascii="Arial Narrow" w:hAnsi="Arial Narrow" w:cs="Calibri"/>
                <w:b/>
                <w:sz w:val="28"/>
                <w:szCs w:val="28"/>
              </w:rPr>
              <w:t>10.</w:t>
            </w:r>
            <w:r>
              <w:rPr>
                <w:rFonts w:ascii="Arial Narrow" w:hAnsi="Arial Narrow" w:cs="Calibri"/>
                <w:b/>
                <w:sz w:val="28"/>
                <w:szCs w:val="28"/>
              </w:rPr>
              <w:t>4</w:t>
            </w:r>
            <w:r w:rsidRPr="009E75FB">
              <w:rPr>
                <w:rFonts w:ascii="Arial Narrow" w:hAnsi="Arial Narrow" w:cs="Calibri"/>
                <w:b/>
                <w:sz w:val="28"/>
                <w:szCs w:val="28"/>
              </w:rPr>
              <w:t xml:space="preserve"> European Charter for Regional or Minority Languages</w:t>
            </w:r>
          </w:p>
          <w:p w:rsidR="001D7AFE" w:rsidRPr="00D73FF1" w:rsidRDefault="001D7AFE" w:rsidP="001D7AFE">
            <w:pPr>
              <w:rPr>
                <w:rFonts w:ascii="Arial Narrow" w:hAnsi="Arial Narrow" w:cs="Calibri"/>
                <w:sz w:val="22"/>
              </w:rPr>
            </w:pPr>
            <w:r>
              <w:rPr>
                <w:rFonts w:ascii="Arial Narrow" w:hAnsi="Arial Narrow" w:cs="Calibri"/>
                <w:sz w:val="22"/>
              </w:rPr>
              <w:t xml:space="preserve">e. </w:t>
            </w:r>
            <w:r w:rsidRPr="002D5829">
              <w:rPr>
                <w:rFonts w:ascii="Arial Narrow" w:hAnsi="Arial Narrow" w:cs="Calibri"/>
                <w:sz w:val="22"/>
              </w:rPr>
              <w:t>Strengthening the monitoring mechanism of the European Charter for Regional or Minority Languages</w:t>
            </w:r>
          </w:p>
          <w:p w:rsidR="00B003CD" w:rsidRPr="00B72A28" w:rsidRDefault="00B003CD" w:rsidP="00E54322">
            <w:pPr>
              <w:rPr>
                <w:rFonts w:ascii="Arial Narrow" w:hAnsi="Arial Narrow" w:cs="Calibri"/>
                <w:szCs w:val="20"/>
              </w:rPr>
            </w:pPr>
            <w:r w:rsidRPr="00B72A28">
              <w:rPr>
                <w:rFonts w:ascii="Arial Narrow" w:hAnsi="Arial Narrow" w:cs="Calibri"/>
                <w:szCs w:val="20"/>
              </w:rPr>
              <w:t xml:space="preserve"> </w:t>
            </w:r>
          </w:p>
          <w:p w:rsidR="00E457C3" w:rsidRDefault="00E92773" w:rsidP="00B003CD">
            <w:pPr>
              <w:rPr>
                <w:rFonts w:ascii="Arial Narrow" w:hAnsi="Arial Narrow" w:cs="Calibri"/>
                <w:sz w:val="18"/>
                <w:szCs w:val="18"/>
              </w:rPr>
            </w:pPr>
            <w:r>
              <w:rPr>
                <w:rFonts w:ascii="Arial Narrow" w:hAnsi="Arial Narrow" w:cs="Calibri"/>
                <w:sz w:val="18"/>
                <w:szCs w:val="18"/>
              </w:rPr>
              <w:t>Reference document</w:t>
            </w:r>
          </w:p>
          <w:bookmarkStart w:id="1" w:name="_ML_000000000001_VALID"/>
          <w:p w:rsidR="00B971B4" w:rsidRPr="00757EAC" w:rsidRDefault="00757EAC" w:rsidP="00B003CD">
            <w:pPr>
              <w:rPr>
                <w:rFonts w:ascii="Arial Narrow" w:hAnsi="Arial Narrow" w:cs="Calibri"/>
                <w:sz w:val="18"/>
                <w:szCs w:val="18"/>
                <w:lang w:val="fr-FR"/>
              </w:rPr>
            </w:pPr>
            <w:r w:rsidRPr="00757EAC">
              <w:rPr>
                <w:rFonts w:ascii="Arial Narrow" w:hAnsi="Arial Narrow" w:cs="Calibri"/>
                <w:sz w:val="18"/>
                <w:szCs w:val="18"/>
              </w:rPr>
              <w:fldChar w:fldCharType="begin"/>
            </w:r>
            <w:r w:rsidRPr="00757EAC">
              <w:rPr>
                <w:rFonts w:ascii="Arial Narrow" w:hAnsi="Arial Narrow" w:cs="Calibri"/>
                <w:sz w:val="18"/>
                <w:szCs w:val="18"/>
              </w:rPr>
              <w:instrText xml:space="preserve"> HYPERLINK "https://search.coe.int/cm/Pages/result_details.aspx?Reference=CM(2018)165" \o "European Charter for Regional or Minority Languages - e. Strengthening the monitoring mechanism of the European Charter for Regional or Minority Languages [1330 meeting]" </w:instrText>
            </w:r>
            <w:r w:rsidRPr="00757EAC">
              <w:rPr>
                <w:rFonts w:ascii="Arial Narrow" w:hAnsi="Arial Narrow" w:cs="Calibri"/>
                <w:sz w:val="18"/>
                <w:szCs w:val="18"/>
              </w:rPr>
              <w:fldChar w:fldCharType="separate"/>
            </w:r>
            <w:bookmarkEnd w:id="1"/>
            <w:r w:rsidRPr="00757EAC">
              <w:rPr>
                <w:rStyle w:val="Hyperlink"/>
                <w:rFonts w:ascii="Arial Narrow" w:hAnsi="Arial Narrow" w:cs="Calibri"/>
                <w:sz w:val="18"/>
                <w:szCs w:val="18"/>
              </w:rPr>
              <w:t>CM(2018)165</w:t>
            </w:r>
            <w:r w:rsidRPr="00757EAC">
              <w:rPr>
                <w:rFonts w:ascii="Arial Narrow" w:hAnsi="Arial Narrow" w:cs="Calibri"/>
                <w:sz w:val="18"/>
                <w:szCs w:val="18"/>
              </w:rPr>
              <w:fldChar w:fldCharType="end"/>
            </w:r>
          </w:p>
        </w:tc>
      </w:tr>
    </w:tbl>
    <w:p w:rsidR="00556F19" w:rsidRPr="00B971B4" w:rsidRDefault="00556F19" w:rsidP="0037200F">
      <w:pPr>
        <w:rPr>
          <w:rFonts w:eastAsia="Times New Roman"/>
          <w:szCs w:val="24"/>
          <w:lang w:val="fr-FR"/>
        </w:rPr>
      </w:pPr>
      <w:r w:rsidRPr="00B971B4">
        <w:rPr>
          <w:rFonts w:eastAsia="Times New Roman"/>
          <w:szCs w:val="24"/>
          <w:lang w:val="fr-FR"/>
        </w:rPr>
        <w:t xml:space="preserve"> </w:t>
      </w:r>
    </w:p>
    <w:p w:rsidR="00556F19" w:rsidRDefault="00B971B4" w:rsidP="0037200F">
      <w:pPr>
        <w:rPr>
          <w:rFonts w:eastAsia="Times New Roman"/>
          <w:i/>
          <w:szCs w:val="24"/>
        </w:rPr>
      </w:pPr>
      <w:r>
        <w:rPr>
          <w:rFonts w:eastAsia="Times New Roman"/>
          <w:i/>
          <w:szCs w:val="24"/>
        </w:rPr>
        <w:t>Decision</w:t>
      </w:r>
      <w:r w:rsidR="001D7AFE">
        <w:rPr>
          <w:rFonts w:eastAsia="Times New Roman"/>
          <w:i/>
          <w:szCs w:val="24"/>
        </w:rPr>
        <w:t>s</w:t>
      </w:r>
    </w:p>
    <w:p w:rsidR="00B971B4" w:rsidRDefault="00B971B4" w:rsidP="0037200F">
      <w:pPr>
        <w:rPr>
          <w:rFonts w:eastAsia="Times New Roman"/>
          <w:szCs w:val="24"/>
        </w:rPr>
      </w:pPr>
    </w:p>
    <w:p w:rsidR="001D7AFE" w:rsidRDefault="001D7AFE" w:rsidP="001D7AFE">
      <w:pPr>
        <w:tabs>
          <w:tab w:val="left" w:pos="709"/>
        </w:tabs>
        <w:rPr>
          <w:rFonts w:eastAsiaTheme="minorHAnsi" w:cs="Arial"/>
          <w:szCs w:val="20"/>
        </w:rPr>
      </w:pPr>
      <w:r>
        <w:rPr>
          <w:rFonts w:eastAsiaTheme="minorHAnsi" w:cs="Arial"/>
          <w:szCs w:val="20"/>
        </w:rPr>
        <w:t>The Deputies, having consulted the Committee of Experts of the European Charter for Regional or Minority Languages (ETS No. 148, hereafter “the Charter”), and noting that there is consensus among the States Parties to the Charter on the changes to be made in the operation of its monitoring mechanism,</w:t>
      </w:r>
    </w:p>
    <w:p w:rsidR="001D7AFE" w:rsidRDefault="001D7AFE"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1.</w:t>
      </w:r>
      <w:r>
        <w:rPr>
          <w:rFonts w:eastAsiaTheme="minorHAnsi" w:cs="Arial"/>
          <w:szCs w:val="20"/>
        </w:rPr>
        <w:tab/>
        <w:t xml:space="preserve">decided as follows with effect from 1 July 2019: </w:t>
      </w:r>
    </w:p>
    <w:p w:rsidR="001D7AFE" w:rsidRDefault="001D7AFE" w:rsidP="001D7AFE">
      <w:pPr>
        <w:tabs>
          <w:tab w:val="left" w:pos="709"/>
        </w:tabs>
        <w:rPr>
          <w:rFonts w:eastAsiaTheme="minorHAnsi" w:cs="Arial"/>
          <w:szCs w:val="20"/>
        </w:rPr>
      </w:pPr>
    </w:p>
    <w:p w:rsidR="001D7AFE" w:rsidRDefault="001D7AFE" w:rsidP="001D7AFE">
      <w:pPr>
        <w:numPr>
          <w:ilvl w:val="0"/>
          <w:numId w:val="1"/>
        </w:numPr>
        <w:tabs>
          <w:tab w:val="left" w:pos="709"/>
        </w:tabs>
        <w:ind w:left="0" w:firstLine="0"/>
        <w:rPr>
          <w:rFonts w:eastAsiaTheme="minorHAnsi" w:cs="Arial"/>
          <w:szCs w:val="20"/>
        </w:rPr>
      </w:pPr>
      <w:r>
        <w:rPr>
          <w:rFonts w:eastAsiaTheme="minorHAnsi" w:cs="Arial"/>
          <w:szCs w:val="20"/>
        </w:rPr>
        <w:t>the Parties shall present every five years periodical reports on the implementation of the Charter and two and a half years thereafter information on the implementation of a limited number of recommendations, if any, namely only those that have been identified by the Committee of Experts in its evaluation report as being for immediate action;</w:t>
      </w:r>
    </w:p>
    <w:p w:rsidR="001D7AFE" w:rsidRDefault="001D7AFE" w:rsidP="001D7AFE">
      <w:pPr>
        <w:tabs>
          <w:tab w:val="left" w:pos="709"/>
        </w:tabs>
        <w:jc w:val="center"/>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b)</w:t>
      </w:r>
      <w:r>
        <w:rPr>
          <w:rFonts w:eastAsiaTheme="minorHAnsi" w:cs="Arial"/>
          <w:szCs w:val="20"/>
        </w:rPr>
        <w:tab/>
        <w:t xml:space="preserve">while emphasising that the Charter and the Framework Convention for the Protection of National Minorities (ETS No. 157, hereafter “the Framework Convention”) have distinct aims and purposes and that they remain two separate instruments, giving rise to distinct obligations, with separate monitoring mechanisms and expert committees, the Parties to the Charter which are also Parties to the Framework Convention shall present their periodical reports on the Charter and on the Framework Convention by the </w:t>
      </w:r>
      <w:r w:rsidRPr="00064B75">
        <w:rPr>
          <w:rFonts w:eastAsiaTheme="minorHAnsi" w:cs="Arial"/>
          <w:szCs w:val="20"/>
        </w:rPr>
        <w:t>dates set out</w:t>
      </w:r>
      <w:r>
        <w:rPr>
          <w:rFonts w:eastAsiaTheme="minorHAnsi" w:cs="Arial"/>
          <w:szCs w:val="20"/>
        </w:rPr>
        <w:t xml:space="preserve"> in the Appendix. During a transition period of five years starting from the date the present decisions take effect, information on recommendations for immediate action from the Committee of Experts’ evaluation report shall be presented by the dates set out in the Appendix;</w:t>
      </w:r>
    </w:p>
    <w:p w:rsidR="00AF05E8" w:rsidRDefault="00AF05E8"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c)</w:t>
      </w:r>
      <w:r>
        <w:rPr>
          <w:rFonts w:eastAsiaTheme="minorHAnsi" w:cs="Arial"/>
          <w:szCs w:val="20"/>
        </w:rPr>
        <w:tab/>
        <w:t>if a Party has not presented its periodical report or, where relevant, information on the implementation of the recommendations for immediate action five months after the due date and where two reminders have been made by the Secretariat General, the Chair of the Deputies shall address a letter to the Party concerned inviting it to submit the report or information without further delay;</w:t>
      </w:r>
      <w:r>
        <w:rPr>
          <w:rFonts w:eastAsiaTheme="minorHAnsi" w:cs="Arial"/>
          <w:szCs w:val="20"/>
          <w:vertAlign w:val="superscript"/>
        </w:rPr>
        <w:footnoteReference w:id="1"/>
      </w:r>
    </w:p>
    <w:p w:rsidR="001D7AFE" w:rsidRDefault="001D7AFE"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d)</w:t>
      </w:r>
      <w:r>
        <w:rPr>
          <w:rFonts w:eastAsiaTheme="minorHAnsi" w:cs="Arial"/>
          <w:szCs w:val="20"/>
        </w:rPr>
        <w:tab/>
        <w:t>the Committee of Experts is authorised to submit a proposal to the Deputies regarding the commencement of the monitoring of the Charter without a periodical report when a Party is more than twelve months behind in submitting a report, together with the information received from this Party concerning the reasons for the delay. In so doing, the Committee of Experts shall invite the Deputies to take a decision on the matter without a debate, unless at least one delegation requests that the matter be discussed;</w:t>
      </w:r>
      <w:r>
        <w:rPr>
          <w:rFonts w:cs="Arial"/>
          <w:szCs w:val="20"/>
          <w:vertAlign w:val="superscript"/>
        </w:rPr>
        <w:footnoteReference w:id="2"/>
      </w:r>
    </w:p>
    <w:p w:rsidR="001D7AFE" w:rsidRDefault="001D7AFE"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e)</w:t>
      </w:r>
      <w:r>
        <w:rPr>
          <w:rFonts w:eastAsiaTheme="minorHAnsi" w:cs="Arial"/>
          <w:szCs w:val="20"/>
        </w:rPr>
        <w:tab/>
        <w:t xml:space="preserve">a Party may submit comments on the Committee of Experts’ evaluation report within two months of its transmission. In these comments, the Party may ask the Committee of Experts for a confidential dialogue, which functions according to rules established by the Committee of Experts. Where the Party does not ask for a confidential dialogue, the evaluation report, together with any comments received from the Party, becomes public upon expiration of the two-month deadline where the Party does not submit comments, or upon receipt of the Party’s comments, whichever is the earlier date; </w:t>
      </w:r>
    </w:p>
    <w:p w:rsidR="001D7AFE" w:rsidRDefault="001D7AFE">
      <w:pPr>
        <w:rPr>
          <w:rFonts w:eastAsiaTheme="minorHAnsi" w:cs="Arial"/>
          <w:szCs w:val="20"/>
        </w:rPr>
      </w:pPr>
      <w:r>
        <w:rPr>
          <w:rFonts w:eastAsiaTheme="minorHAnsi" w:cs="Arial"/>
          <w:szCs w:val="20"/>
        </w:rPr>
        <w:br w:type="page"/>
      </w:r>
    </w:p>
    <w:p w:rsidR="001D7AFE" w:rsidRDefault="001D7AFE"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f)</w:t>
      </w:r>
      <w:r>
        <w:rPr>
          <w:rFonts w:eastAsiaTheme="minorHAnsi" w:cs="Arial"/>
          <w:szCs w:val="20"/>
        </w:rPr>
        <w:tab/>
        <w:t xml:space="preserve">in the event that a confidential dialogue has taken place, the Party may submit possible further comments within two months of the transmission of the final evaluation report, which becomes public upon receipt of any such comments from the Party, or following the expiration of the two-month deadline, whichever is the earlier date. Any such comments received from the Party become public together with the evaluation report; </w:t>
      </w:r>
    </w:p>
    <w:p w:rsidR="001D7AFE" w:rsidRDefault="001D7AFE" w:rsidP="001D7AFE">
      <w:pPr>
        <w:tabs>
          <w:tab w:val="left" w:pos="709"/>
        </w:tabs>
        <w:rPr>
          <w:rFonts w:eastAsiaTheme="minorHAnsi" w:cs="Arial"/>
          <w:szCs w:val="20"/>
        </w:rPr>
      </w:pPr>
    </w:p>
    <w:p w:rsidR="001D7AFE" w:rsidRDefault="001D7AFE" w:rsidP="001D7AFE">
      <w:pPr>
        <w:tabs>
          <w:tab w:val="left" w:pos="709"/>
        </w:tabs>
        <w:rPr>
          <w:rFonts w:eastAsiaTheme="minorHAnsi" w:cs="Arial"/>
          <w:szCs w:val="20"/>
        </w:rPr>
      </w:pPr>
      <w:r>
        <w:rPr>
          <w:rFonts w:eastAsiaTheme="minorHAnsi" w:cs="Arial"/>
          <w:szCs w:val="20"/>
        </w:rPr>
        <w:t>2.</w:t>
      </w:r>
      <w:r>
        <w:rPr>
          <w:rFonts w:eastAsiaTheme="minorHAnsi" w:cs="Arial"/>
          <w:szCs w:val="20"/>
        </w:rPr>
        <w:tab/>
        <w:t xml:space="preserve">decided that members of the Committee of Experts appointed for the first time on or after 1 July 2019 shall be eligible for reappointment once. As a transitional rule, the members in office on that date may be appointed to serve another term; the term of members in office on that date who are completing their predecessor’s term shall be extended to a total period of six years; </w:t>
      </w:r>
    </w:p>
    <w:p w:rsidR="001D7AFE" w:rsidRDefault="001D7AFE" w:rsidP="001D7AFE">
      <w:pPr>
        <w:tabs>
          <w:tab w:val="left" w:pos="709"/>
        </w:tabs>
        <w:rPr>
          <w:rFonts w:eastAsiaTheme="minorHAnsi" w:cs="Arial"/>
          <w:szCs w:val="20"/>
        </w:rPr>
      </w:pPr>
    </w:p>
    <w:p w:rsidR="001D7AFE" w:rsidRDefault="001D7AFE" w:rsidP="001D7AFE">
      <w:pPr>
        <w:tabs>
          <w:tab w:val="left" w:pos="709"/>
        </w:tabs>
        <w:autoSpaceDE w:val="0"/>
        <w:autoSpaceDN w:val="0"/>
        <w:adjustRightInd w:val="0"/>
        <w:rPr>
          <w:rFonts w:eastAsiaTheme="minorHAnsi" w:cs="Arial"/>
          <w:szCs w:val="20"/>
        </w:rPr>
      </w:pPr>
      <w:r>
        <w:rPr>
          <w:rFonts w:eastAsiaTheme="minorHAnsi" w:cs="Arial"/>
          <w:szCs w:val="20"/>
        </w:rPr>
        <w:t>3.</w:t>
      </w:r>
      <w:r>
        <w:rPr>
          <w:rFonts w:eastAsiaTheme="minorHAnsi" w:cs="Arial"/>
          <w:szCs w:val="20"/>
        </w:rPr>
        <w:tab/>
        <w:t>encouraged wider use of the Committee of Experts’ rapid reaction capacity and ad hoc missions, as foreseen in its Rules of Procedure, and encouraged the Committee to keep the pertinent rules under review;</w:t>
      </w:r>
    </w:p>
    <w:p w:rsidR="001D7AFE" w:rsidRDefault="001D7AFE" w:rsidP="001D7AFE">
      <w:pPr>
        <w:tabs>
          <w:tab w:val="left" w:pos="709"/>
        </w:tabs>
        <w:autoSpaceDE w:val="0"/>
        <w:autoSpaceDN w:val="0"/>
        <w:adjustRightInd w:val="0"/>
        <w:rPr>
          <w:rFonts w:eastAsiaTheme="minorHAnsi" w:cs="Arial"/>
          <w:szCs w:val="20"/>
          <w:lang w:val="en-US"/>
        </w:rPr>
      </w:pPr>
    </w:p>
    <w:p w:rsidR="001D7AFE" w:rsidRDefault="001D7AFE" w:rsidP="001D7AFE">
      <w:pPr>
        <w:tabs>
          <w:tab w:val="left" w:pos="709"/>
        </w:tabs>
        <w:autoSpaceDE w:val="0"/>
        <w:autoSpaceDN w:val="0"/>
        <w:adjustRightInd w:val="0"/>
        <w:rPr>
          <w:rFonts w:eastAsiaTheme="minorHAnsi" w:cs="Arial"/>
          <w:szCs w:val="20"/>
        </w:rPr>
      </w:pPr>
      <w:r>
        <w:rPr>
          <w:rFonts w:eastAsiaTheme="minorHAnsi" w:cs="Arial"/>
          <w:szCs w:val="20"/>
        </w:rPr>
        <w:t xml:space="preserve">4. </w:t>
      </w:r>
      <w:r>
        <w:rPr>
          <w:rFonts w:eastAsiaTheme="minorHAnsi" w:cs="Arial"/>
          <w:szCs w:val="20"/>
        </w:rPr>
        <w:tab/>
        <w:t>noted that the reflection document “Strengthening the monitoring mechanism of the European Charter for Regional or Minority Languages” (</w:t>
      </w:r>
      <w:bookmarkStart w:id="3" w:name="_ML_000000000002_VALID"/>
      <w:r w:rsidR="00757EAC" w:rsidRPr="00757EAC">
        <w:rPr>
          <w:rFonts w:eastAsiaTheme="minorHAnsi" w:cs="Arial"/>
          <w:szCs w:val="20"/>
        </w:rPr>
        <w:fldChar w:fldCharType="begin"/>
      </w:r>
      <w:r w:rsidR="00757EAC" w:rsidRPr="00757EAC">
        <w:rPr>
          <w:rFonts w:eastAsiaTheme="minorHAnsi" w:cs="Arial"/>
          <w:szCs w:val="20"/>
        </w:rPr>
        <w:instrText xml:space="preserve"> HYPERLINK "https://search.coe.int/cm/Pages/result_details.aspx?Reference=CM(2018)165" \o "European Charter for Regional or Minority Languages - e. Strengthening the monitoring mechanism of the European Charter for Regional or Minority Languages [1330 meeting]" </w:instrText>
      </w:r>
      <w:r w:rsidR="00757EAC" w:rsidRPr="00757EAC">
        <w:rPr>
          <w:rFonts w:eastAsiaTheme="minorHAnsi" w:cs="Arial"/>
          <w:szCs w:val="20"/>
        </w:rPr>
        <w:fldChar w:fldCharType="separate"/>
      </w:r>
      <w:bookmarkEnd w:id="3"/>
      <w:r w:rsidR="00757EAC" w:rsidRPr="00757EAC">
        <w:rPr>
          <w:rStyle w:val="Hyperlink"/>
          <w:rFonts w:eastAsiaTheme="minorHAnsi" w:cs="Arial"/>
          <w:szCs w:val="20"/>
        </w:rPr>
        <w:t>CM(2018)165</w:t>
      </w:r>
      <w:r w:rsidR="00757EAC" w:rsidRPr="00757EAC">
        <w:rPr>
          <w:rFonts w:eastAsiaTheme="minorHAnsi" w:cs="Arial"/>
          <w:szCs w:val="20"/>
        </w:rPr>
        <w:fldChar w:fldCharType="end"/>
      </w:r>
      <w:r>
        <w:rPr>
          <w:rFonts w:eastAsiaTheme="minorHAnsi" w:cs="Arial"/>
          <w:szCs w:val="20"/>
        </w:rPr>
        <w:t>) provided useful background information to the present decisions.</w:t>
      </w:r>
    </w:p>
    <w:p w:rsidR="001D7AFE" w:rsidRDefault="001D7AFE" w:rsidP="001D7AFE">
      <w:pPr>
        <w:rPr>
          <w:rFonts w:eastAsiaTheme="minorHAnsi" w:cs="Arial"/>
          <w:szCs w:val="20"/>
        </w:rPr>
      </w:pPr>
      <w:r>
        <w:rPr>
          <w:rFonts w:cs="Arial"/>
          <w:szCs w:val="20"/>
        </w:rPr>
        <w:br w:type="page"/>
      </w:r>
    </w:p>
    <w:p w:rsidR="00162CA7" w:rsidRPr="00064B75" w:rsidRDefault="00162CA7" w:rsidP="00162CA7">
      <w:pPr>
        <w:jc w:val="center"/>
        <w:rPr>
          <w:rFonts w:eastAsiaTheme="minorHAnsi" w:cs="Arial"/>
          <w:b/>
          <w:szCs w:val="20"/>
        </w:rPr>
      </w:pPr>
      <w:r w:rsidRPr="00064B75">
        <w:rPr>
          <w:rFonts w:eastAsiaTheme="minorHAnsi" w:cs="Arial"/>
          <w:b/>
          <w:szCs w:val="20"/>
        </w:rPr>
        <w:lastRenderedPageBreak/>
        <w:t>Appendix</w:t>
      </w:r>
    </w:p>
    <w:p w:rsidR="00162CA7" w:rsidRPr="00064B75" w:rsidRDefault="00162CA7" w:rsidP="00162CA7">
      <w:pPr>
        <w:jc w:val="center"/>
        <w:rPr>
          <w:rFonts w:eastAsiaTheme="minorHAnsi" w:cs="Arial"/>
          <w:b/>
          <w:szCs w:val="20"/>
        </w:rPr>
      </w:pPr>
    </w:p>
    <w:p w:rsidR="00162CA7" w:rsidRPr="00064B75" w:rsidRDefault="00162CA7" w:rsidP="00162CA7">
      <w:pPr>
        <w:jc w:val="center"/>
        <w:rPr>
          <w:rFonts w:eastAsiaTheme="minorHAnsi" w:cs="Arial"/>
          <w:b/>
          <w:szCs w:val="20"/>
        </w:rPr>
      </w:pPr>
      <w:r>
        <w:rPr>
          <w:rFonts w:eastAsiaTheme="minorHAnsi" w:cs="Arial"/>
          <w:b/>
          <w:szCs w:val="20"/>
        </w:rPr>
        <w:t>Alignment of periodical reports on the European Charter for Regional or Minority Languages (ECRML)</w:t>
      </w:r>
      <w:r w:rsidRPr="00064B75">
        <w:rPr>
          <w:rFonts w:eastAsiaTheme="minorHAnsi" w:cs="Arial"/>
          <w:b/>
          <w:szCs w:val="20"/>
        </w:rPr>
        <w:t xml:space="preserve"> and </w:t>
      </w:r>
      <w:r>
        <w:rPr>
          <w:rFonts w:eastAsiaTheme="minorHAnsi" w:cs="Arial"/>
          <w:b/>
          <w:szCs w:val="20"/>
        </w:rPr>
        <w:t xml:space="preserve">on the </w:t>
      </w:r>
      <w:r w:rsidRPr="00064B75">
        <w:rPr>
          <w:rFonts w:eastAsiaTheme="minorHAnsi" w:cs="Arial"/>
          <w:b/>
          <w:szCs w:val="20"/>
        </w:rPr>
        <w:t xml:space="preserve">Framework Convention </w:t>
      </w:r>
      <w:r>
        <w:rPr>
          <w:rFonts w:eastAsiaTheme="minorHAnsi" w:cs="Arial"/>
          <w:b/>
          <w:szCs w:val="20"/>
        </w:rPr>
        <w:t>for the Protection of National Minorities (FCNM)</w:t>
      </w:r>
    </w:p>
    <w:p w:rsidR="00162CA7" w:rsidRPr="00064B75" w:rsidRDefault="00162CA7" w:rsidP="00162CA7">
      <w:pPr>
        <w:jc w:val="center"/>
        <w:rPr>
          <w:rFonts w:eastAsiaTheme="minorHAnsi" w:cs="Arial"/>
          <w:b/>
          <w:szCs w:val="20"/>
        </w:rPr>
      </w:pPr>
      <w:r w:rsidRPr="00064B75">
        <w:rPr>
          <w:rFonts w:eastAsiaTheme="minorHAnsi" w:cs="Arial"/>
          <w:b/>
          <w:szCs w:val="20"/>
        </w:rPr>
        <w:t>and information on</w:t>
      </w:r>
      <w:r>
        <w:rPr>
          <w:rFonts w:eastAsiaTheme="minorHAnsi" w:cs="Arial"/>
          <w:b/>
          <w:szCs w:val="20"/>
        </w:rPr>
        <w:t xml:space="preserve"> the implementation of</w:t>
      </w:r>
      <w:r w:rsidRPr="00064B75">
        <w:rPr>
          <w:rFonts w:eastAsiaTheme="minorHAnsi" w:cs="Arial"/>
          <w:b/>
          <w:szCs w:val="20"/>
        </w:rPr>
        <w:t xml:space="preserve"> recommendations for immediate action</w:t>
      </w:r>
      <w:r>
        <w:rPr>
          <w:rFonts w:eastAsiaTheme="minorHAnsi" w:cs="Arial"/>
          <w:b/>
          <w:szCs w:val="20"/>
        </w:rPr>
        <w:t xml:space="preserve"> under the Charter</w:t>
      </w:r>
    </w:p>
    <w:p w:rsidR="00162CA7" w:rsidRPr="00064B75" w:rsidRDefault="00162CA7" w:rsidP="00162CA7">
      <w:pPr>
        <w:jc w:val="center"/>
        <w:rPr>
          <w:rFonts w:eastAsiaTheme="minorHAnsi" w:cs="Arial"/>
          <w:b/>
          <w:szCs w:val="20"/>
        </w:rPr>
      </w:pPr>
      <w:r w:rsidRPr="00064B75">
        <w:rPr>
          <w:rFonts w:eastAsiaTheme="minorHAnsi" w:cs="Arial"/>
          <w:b/>
          <w:szCs w:val="20"/>
        </w:rPr>
        <w:t>(2020-2024)</w:t>
      </w:r>
    </w:p>
    <w:tbl>
      <w:tblPr>
        <w:tblpPr w:leftFromText="181" w:rightFromText="181" w:vertAnchor="text" w:horzAnchor="margin" w:tblpXSpec="center" w:tblpY="237"/>
        <w:tblW w:w="106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675"/>
        <w:gridCol w:w="1560"/>
        <w:gridCol w:w="1417"/>
        <w:gridCol w:w="1418"/>
        <w:gridCol w:w="1347"/>
        <w:gridCol w:w="1568"/>
        <w:gridCol w:w="1568"/>
        <w:gridCol w:w="1092"/>
      </w:tblGrid>
      <w:tr w:rsidR="00162CA7" w:rsidRPr="00064B75" w:rsidTr="00150A86">
        <w:trPr>
          <w:trHeight w:val="424"/>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rPr>
                <w:rFonts w:cs="Arial"/>
                <w:b/>
                <w:bCs/>
                <w:color w:val="FFFFFF"/>
                <w:szCs w:val="20"/>
                <w:lang w:val="en-US"/>
              </w:rPr>
            </w:pPr>
            <w:r w:rsidRPr="00064B75">
              <w:rPr>
                <w:rFonts w:cs="Arial"/>
                <w:b/>
                <w:bCs/>
                <w:color w:val="FFFFFF"/>
                <w:szCs w:val="20"/>
                <w:lang w:val="en-US"/>
              </w:rPr>
              <w:t>STATE PARTY</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jc w:val="center"/>
              <w:rPr>
                <w:rFonts w:cs="Arial"/>
                <w:b/>
                <w:bCs/>
                <w:color w:val="FFFFFF"/>
                <w:szCs w:val="20"/>
                <w:lang w:val="en-US"/>
              </w:rPr>
            </w:pPr>
            <w:r w:rsidRPr="00064B75">
              <w:rPr>
                <w:rFonts w:cs="Arial"/>
                <w:b/>
                <w:bCs/>
                <w:color w:val="FFFFFF"/>
                <w:szCs w:val="20"/>
                <w:lang w:val="en-US"/>
              </w:rPr>
              <w:t>2020</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jc w:val="center"/>
              <w:rPr>
                <w:rFonts w:cs="Arial"/>
                <w:b/>
                <w:bCs/>
                <w:color w:val="FFFFFF"/>
                <w:szCs w:val="20"/>
                <w:lang w:val="en-US"/>
              </w:rPr>
            </w:pPr>
            <w:r w:rsidRPr="00064B75">
              <w:rPr>
                <w:rFonts w:cs="Arial"/>
                <w:b/>
                <w:bCs/>
                <w:color w:val="FFFFFF"/>
                <w:szCs w:val="20"/>
                <w:lang w:val="en-US"/>
              </w:rPr>
              <w:t>2021</w:t>
            </w: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jc w:val="center"/>
              <w:rPr>
                <w:rFonts w:cs="Arial"/>
                <w:b/>
                <w:bCs/>
                <w:color w:val="FFFFFF"/>
                <w:szCs w:val="20"/>
                <w:lang w:val="en-US"/>
              </w:rPr>
            </w:pPr>
            <w:r w:rsidRPr="00064B75">
              <w:rPr>
                <w:rFonts w:cs="Arial"/>
                <w:b/>
                <w:bCs/>
                <w:color w:val="FFFFFF"/>
                <w:szCs w:val="20"/>
                <w:lang w:val="en-US"/>
              </w:rPr>
              <w:t>2022</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jc w:val="center"/>
              <w:rPr>
                <w:rFonts w:cs="Arial"/>
                <w:b/>
                <w:bCs/>
                <w:color w:val="FFFFFF"/>
                <w:szCs w:val="20"/>
                <w:lang w:val="en-US"/>
              </w:rPr>
            </w:pPr>
            <w:r w:rsidRPr="00064B75">
              <w:rPr>
                <w:rFonts w:cs="Arial"/>
                <w:b/>
                <w:bCs/>
                <w:color w:val="FFFFFF"/>
                <w:szCs w:val="20"/>
                <w:lang w:val="en-US"/>
              </w:rPr>
              <w:t>2023</w:t>
            </w:r>
          </w:p>
        </w:tc>
        <w:tc>
          <w:tcPr>
            <w:tcW w:w="1568"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000000"/>
            <w:noWrap/>
            <w:vAlign w:val="center"/>
            <w:hideMark/>
          </w:tcPr>
          <w:p w:rsidR="00162CA7" w:rsidRPr="00064B75" w:rsidRDefault="00162CA7" w:rsidP="00150A86">
            <w:pPr>
              <w:jc w:val="center"/>
              <w:rPr>
                <w:rFonts w:cs="Arial"/>
                <w:b/>
                <w:bCs/>
                <w:color w:val="FFFFFF"/>
                <w:szCs w:val="20"/>
                <w:lang w:val="en-US"/>
              </w:rPr>
            </w:pPr>
            <w:r w:rsidRPr="00064B75">
              <w:rPr>
                <w:rFonts w:cs="Arial"/>
                <w:b/>
                <w:bCs/>
                <w:color w:val="FFFFFF"/>
                <w:szCs w:val="20"/>
                <w:lang w:val="en-US"/>
              </w:rPr>
              <w:t>2024</w:t>
            </w: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FFFFFF"/>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Armenia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1-May*</w:t>
            </w: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triple" w:sz="4" w:space="0" w:color="auto"/>
              <w:right w:val="single" w:sz="12" w:space="0" w:color="auto"/>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1-May</w:t>
            </w:r>
          </w:p>
        </w:tc>
        <w:tc>
          <w:tcPr>
            <w:tcW w:w="1092" w:type="dxa"/>
            <w:tcBorders>
              <w:top w:val="nil"/>
              <w:left w:val="single" w:sz="12" w:space="0" w:color="auto"/>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Austria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noWrap/>
            <w:vAlign w:val="center"/>
            <w:hideMark/>
          </w:tcPr>
          <w:p w:rsidR="00162CA7" w:rsidRPr="00064B75" w:rsidRDefault="00162CA7" w:rsidP="00150A86">
            <w:pPr>
              <w:jc w:val="center"/>
              <w:rPr>
                <w:rFonts w:cs="Arial"/>
                <w:b/>
                <w:szCs w:val="20"/>
                <w:lang w:val="en-US"/>
              </w:rPr>
            </w:pPr>
            <w:r w:rsidRPr="00064B75">
              <w:rPr>
                <w:rFonts w:cs="Arial"/>
                <w:b/>
                <w:szCs w:val="20"/>
                <w:lang w:val="en-US"/>
              </w:rPr>
              <w:t>1-Oct</w:t>
            </w:r>
          </w:p>
        </w:tc>
        <w:tc>
          <w:tcPr>
            <w:tcW w:w="1418" w:type="dxa"/>
            <w:tcBorders>
              <w:top w:val="single" w:sz="2" w:space="0" w:color="808080" w:themeColor="background1" w:themeShade="80"/>
              <w:left w:val="single" w:sz="2" w:space="0" w:color="808080" w:themeColor="background1" w:themeShade="80"/>
              <w:bottom w:val="single" w:sz="12" w:space="0" w:color="000000" w:themeColor="text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triple" w:sz="4"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triple" w:sz="4" w:space="0" w:color="auto"/>
              <w:left w:val="triple" w:sz="4" w:space="0" w:color="auto"/>
              <w:bottom w:val="triple" w:sz="4" w:space="0" w:color="auto"/>
              <w:right w:val="triple" w:sz="4" w:space="0" w:color="auto"/>
            </w:tcBorders>
            <w:shd w:val="clear" w:color="auto" w:fill="BFBFBF" w:themeFill="background1" w:themeFillShade="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1-Apr</w:t>
            </w:r>
          </w:p>
        </w:tc>
        <w:tc>
          <w:tcPr>
            <w:tcW w:w="1568" w:type="dxa"/>
            <w:tcBorders>
              <w:top w:val="single" w:sz="12" w:space="0" w:color="auto"/>
              <w:left w:val="triple" w:sz="4" w:space="0" w:color="auto"/>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Bosnia and Herzegovina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1-Jun</w:t>
            </w:r>
          </w:p>
        </w:tc>
        <w:tc>
          <w:tcPr>
            <w:tcW w:w="1347"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triple" w:sz="4" w:space="0" w:color="auto"/>
              <w:left w:val="single" w:sz="2" w:space="0" w:color="808080" w:themeColor="background1" w:themeShade="80"/>
              <w:bottom w:val="single" w:sz="12" w:space="0" w:color="000000" w:themeColor="text1"/>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1-Dec</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Croatia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1-Mar*</w:t>
            </w:r>
          </w:p>
        </w:tc>
        <w:tc>
          <w:tcPr>
            <w:tcW w:w="1418" w:type="dxa"/>
            <w:tcBorders>
              <w:top w:val="single" w:sz="12" w:space="0" w:color="000000" w:themeColor="text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1-Mar</w:t>
            </w:r>
          </w:p>
        </w:tc>
        <w:tc>
          <w:tcPr>
            <w:tcW w:w="1568" w:type="dxa"/>
            <w:tcBorders>
              <w:top w:val="single" w:sz="2" w:space="0" w:color="808080" w:themeColor="background1" w:themeShade="80"/>
              <w:left w:val="single" w:sz="12" w:space="0" w:color="000000" w:themeColor="text1"/>
              <w:bottom w:val="single" w:sz="12" w:space="0" w:color="auto"/>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Cyprus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1-Dec*</w:t>
            </w: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2" w:space="0" w:color="808080" w:themeColor="background1" w:themeShade="80"/>
              <w:bottom w:val="single" w:sz="12" w:space="0" w:color="000000" w:themeColor="text1"/>
              <w:right w:val="single" w:sz="12" w:space="0" w:color="auto"/>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1-Feb</w:t>
            </w:r>
          </w:p>
        </w:tc>
        <w:tc>
          <w:tcPr>
            <w:tcW w:w="1092" w:type="dxa"/>
            <w:tcBorders>
              <w:top w:val="nil"/>
              <w:left w:val="single" w:sz="12" w:space="0" w:color="auto"/>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Czech Republic</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1-Mar*</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1-Mar</w:t>
            </w:r>
          </w:p>
        </w:tc>
        <w:tc>
          <w:tcPr>
            <w:tcW w:w="1568" w:type="dxa"/>
            <w:tcBorders>
              <w:top w:val="single" w:sz="12" w:space="0" w:color="auto"/>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Denmark</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1-Jan*</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1-Jan</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bookmarkStart w:id="4" w:name="_GoBack" w:colFirst="0" w:colLast="5"/>
            <w:r w:rsidRPr="00064B75">
              <w:rPr>
                <w:rFonts w:cs="Arial"/>
                <w:szCs w:val="20"/>
                <w:lang w:val="en-US"/>
              </w:rPr>
              <w:t>Finland</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1-Mar*</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1-Mar</w:t>
            </w:r>
          </w:p>
        </w:tc>
        <w:tc>
          <w:tcPr>
            <w:tcW w:w="1568" w:type="dxa"/>
            <w:tcBorders>
              <w:top w:val="single" w:sz="2" w:space="0" w:color="808080" w:themeColor="background1" w:themeShade="80"/>
              <w:left w:val="single" w:sz="12" w:space="0" w:color="000000" w:themeColor="text1"/>
              <w:bottom w:val="triple" w:sz="4" w:space="0" w:color="auto"/>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bookmarkEnd w:id="4"/>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Germany</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1-Jul</w:t>
            </w: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2" w:space="0" w:color="808080" w:themeColor="background1" w:themeShade="80"/>
              <w:bottom w:val="single" w:sz="12" w:space="0" w:color="000000" w:themeColor="text1"/>
              <w:right w:val="triple" w:sz="4" w:space="0" w:color="auto"/>
            </w:tcBorders>
            <w:noWrap/>
            <w:vAlign w:val="center"/>
            <w:hideMark/>
          </w:tcPr>
          <w:p w:rsidR="00162CA7" w:rsidRPr="00064B75" w:rsidRDefault="00162CA7" w:rsidP="00150A86">
            <w:pPr>
              <w:rPr>
                <w:rFonts w:cs="Arial"/>
                <w:szCs w:val="20"/>
                <w:lang w:eastAsia="en-GB"/>
              </w:rPr>
            </w:pPr>
          </w:p>
        </w:tc>
        <w:tc>
          <w:tcPr>
            <w:tcW w:w="1568" w:type="dxa"/>
            <w:tcBorders>
              <w:top w:val="triple" w:sz="4" w:space="0" w:color="auto"/>
              <w:left w:val="triple" w:sz="4" w:space="0" w:color="auto"/>
              <w:bottom w:val="triple" w:sz="4" w:space="0" w:color="auto"/>
              <w:right w:val="triple" w:sz="4" w:space="0" w:color="auto"/>
            </w:tcBorders>
            <w:shd w:val="pct25" w:color="auto" w:fill="auto"/>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1-Jan</w:t>
            </w:r>
          </w:p>
        </w:tc>
        <w:tc>
          <w:tcPr>
            <w:tcW w:w="1092" w:type="dxa"/>
            <w:tcBorders>
              <w:top w:val="nil"/>
              <w:left w:val="triple" w:sz="4" w:space="0" w:color="auto"/>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Hungary</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szCs w:val="20"/>
                <w:lang w:val="en-US"/>
              </w:rPr>
            </w:pPr>
            <w:r w:rsidRPr="00064B75">
              <w:rPr>
                <w:rFonts w:cs="Arial"/>
                <w:szCs w:val="20"/>
                <w:lang w:val="en-US"/>
              </w:rPr>
              <w:t>1-Mar*</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1-Mar</w:t>
            </w:r>
          </w:p>
        </w:tc>
        <w:tc>
          <w:tcPr>
            <w:tcW w:w="1568" w:type="dxa"/>
            <w:tcBorders>
              <w:top w:val="triple" w:sz="4" w:space="0" w:color="auto"/>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szCs w:val="20"/>
                <w:lang w:val="en-US"/>
              </w:rPr>
            </w:pPr>
            <w:r w:rsidRPr="00064B75">
              <w:rPr>
                <w:rFonts w:cs="Arial"/>
                <w:szCs w:val="20"/>
                <w:lang w:val="en-US"/>
              </w:rPr>
              <w:t>Liechtenstein</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hideMark/>
          </w:tcPr>
          <w:p w:rsidR="00162CA7" w:rsidRPr="00064B75" w:rsidRDefault="00162CA7" w:rsidP="00150A86">
            <w:pPr>
              <w:jc w:val="center"/>
              <w:rPr>
                <w:rFonts w:cs="Arial"/>
                <w:bCs/>
                <w:szCs w:val="20"/>
                <w:lang w:val="en-US"/>
              </w:rPr>
            </w:pPr>
            <w:r w:rsidRPr="00064B75">
              <w:rPr>
                <w:rFonts w:cs="Arial"/>
                <w:bCs/>
                <w:szCs w:val="20"/>
                <w:lang w:val="en-US"/>
              </w:rPr>
              <w:t>1-Mar*</w:t>
            </w:r>
          </w:p>
        </w:tc>
        <w:tc>
          <w:tcPr>
            <w:tcW w:w="1418" w:type="dxa"/>
            <w:tcBorders>
              <w:top w:val="single" w:sz="2" w:space="0" w:color="808080" w:themeColor="background1" w:themeShade="80"/>
              <w:left w:val="single" w:sz="2" w:space="0" w:color="808080" w:themeColor="background1" w:themeShade="80"/>
              <w:bottom w:val="single" w:sz="2" w:space="0" w:color="000000" w:themeColor="text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noWrap/>
            <w:vAlign w:val="center"/>
            <w:hideMark/>
          </w:tcPr>
          <w:p w:rsidR="00162CA7" w:rsidRPr="00064B75" w:rsidRDefault="00162CA7" w:rsidP="00150A86">
            <w:pPr>
              <w:jc w:val="center"/>
              <w:rPr>
                <w:rFonts w:cs="Arial"/>
                <w:b/>
                <w:bCs/>
                <w:szCs w:val="20"/>
                <w:lang w:val="en-US"/>
              </w:rPr>
            </w:pPr>
            <w:r w:rsidRPr="00064B75">
              <w:rPr>
                <w:rFonts w:cs="Arial"/>
                <w:b/>
                <w:bCs/>
                <w:szCs w:val="20"/>
                <w:lang w:val="en-US"/>
              </w:rPr>
              <w:t>1-Mar</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noWrap/>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Luxembourg</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1-Oct</w:t>
            </w:r>
          </w:p>
        </w:tc>
        <w:tc>
          <w:tcPr>
            <w:tcW w:w="1347" w:type="dxa"/>
            <w:tcBorders>
              <w:top w:val="single" w:sz="2" w:space="0" w:color="808080" w:themeColor="background1" w:themeShade="80"/>
              <w:left w:val="single" w:sz="2" w:space="0" w:color="000000" w:themeColor="text1"/>
              <w:bottom w:val="single" w:sz="12" w:space="0" w:color="000000" w:themeColor="text1"/>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bCs/>
                <w:color w:val="FF0000"/>
                <w:szCs w:val="20"/>
                <w:lang w:val="en-US"/>
              </w:rPr>
            </w:pPr>
            <w:r w:rsidRPr="00064B75">
              <w:rPr>
                <w:rFonts w:cs="Arial"/>
                <w:bCs/>
                <w:color w:val="808080" w:themeColor="background1" w:themeShade="80"/>
                <w:szCs w:val="20"/>
                <w:lang w:val="en-US"/>
              </w:rPr>
              <w:t>1-Apr</w:t>
            </w: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Cs/>
                <w:color w:val="808080" w:themeColor="background1" w:themeShade="8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Montenegro</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000000" w:themeColor="text1"/>
              <w:left w:val="single" w:sz="2" w:space="0" w:color="808080" w:themeColor="background1" w:themeShade="80"/>
              <w:bottom w:val="single" w:sz="12" w:space="0" w:color="000000" w:themeColor="text1"/>
              <w:right w:val="single" w:sz="12" w:space="0" w:color="000000" w:themeColor="text1"/>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6-Jun</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808080" w:themeColor="background1" w:themeShade="80"/>
                <w:szCs w:val="20"/>
                <w:lang w:val="en-US"/>
              </w:rPr>
            </w:pPr>
            <w:r w:rsidRPr="00064B75">
              <w:rPr>
                <w:rFonts w:cs="Arial"/>
                <w:color w:val="808080" w:themeColor="background1" w:themeShade="80"/>
                <w:szCs w:val="20"/>
                <w:lang w:val="en-US"/>
              </w:rPr>
              <w:t>6-Dec</w:t>
            </w: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color w:val="808080" w:themeColor="background1" w:themeShade="8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Netherlands</w:t>
            </w:r>
          </w:p>
        </w:tc>
        <w:tc>
          <w:tcPr>
            <w:tcW w:w="1417" w:type="dxa"/>
            <w:tcBorders>
              <w:top w:val="single" w:sz="2" w:space="0" w:color="808080" w:themeColor="background1" w:themeShade="80"/>
              <w:left w:val="single" w:sz="2" w:space="0" w:color="808080" w:themeColor="background1" w:themeShade="80"/>
              <w:bottom w:val="single" w:sz="12" w:space="0" w:color="000000" w:themeColor="text1"/>
              <w:right w:val="single" w:sz="12" w:space="0" w:color="000000" w:themeColor="text1"/>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1-Jun</w:t>
            </w:r>
          </w:p>
        </w:tc>
        <w:tc>
          <w:tcPr>
            <w:tcW w:w="1347" w:type="dxa"/>
            <w:tcBorders>
              <w:top w:val="single" w:sz="12" w:space="0" w:color="000000" w:themeColor="text1"/>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808080" w:themeColor="background1" w:themeShade="80"/>
                <w:szCs w:val="20"/>
                <w:lang w:val="en-US"/>
              </w:rPr>
            </w:pPr>
            <w:r w:rsidRPr="00064B75">
              <w:rPr>
                <w:rFonts w:cs="Arial"/>
                <w:color w:val="808080" w:themeColor="background1" w:themeShade="80"/>
                <w:szCs w:val="20"/>
                <w:lang w:val="en-US"/>
              </w:rPr>
              <w:t>1-Dec</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808080" w:themeColor="background1" w:themeShade="8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Norway</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1-Jul</w:t>
            </w:r>
          </w:p>
        </w:tc>
        <w:tc>
          <w:tcPr>
            <w:tcW w:w="1418" w:type="dxa"/>
            <w:tcBorders>
              <w:top w:val="single" w:sz="12" w:space="0" w:color="000000" w:themeColor="text1"/>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12" w:space="0" w:color="000000" w:themeColor="text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808080" w:themeColor="background1" w:themeShade="80"/>
                <w:szCs w:val="20"/>
                <w:lang w:val="en-US"/>
              </w:rPr>
            </w:pPr>
            <w:r w:rsidRPr="00064B75">
              <w:rPr>
                <w:rFonts w:cs="Arial"/>
                <w:color w:val="808080" w:themeColor="background1" w:themeShade="80"/>
                <w:szCs w:val="20"/>
                <w:lang w:val="en-US"/>
              </w:rPr>
              <w:t>1-Jan</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Poland</w:t>
            </w:r>
          </w:p>
        </w:tc>
        <w:tc>
          <w:tcPr>
            <w:tcW w:w="1417" w:type="dxa"/>
            <w:tcBorders>
              <w:top w:val="single" w:sz="12" w:space="0" w:color="000000" w:themeColor="text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1-Jun</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808080" w:themeColor="background1" w:themeShade="80"/>
                <w:szCs w:val="20"/>
                <w:lang w:val="en-US"/>
              </w:rPr>
            </w:pPr>
            <w:r w:rsidRPr="00064B75">
              <w:rPr>
                <w:rFonts w:cs="Arial"/>
                <w:color w:val="808080" w:themeColor="background1" w:themeShade="80"/>
                <w:szCs w:val="20"/>
                <w:lang w:val="en-US"/>
              </w:rPr>
              <w:t>1-Dec</w:t>
            </w: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color w:val="808080" w:themeColor="background1" w:themeShade="8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Romania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bCs/>
                <w:color w:val="808080" w:themeColor="background1" w:themeShade="80"/>
                <w:szCs w:val="20"/>
                <w:lang w:val="en-US"/>
              </w:rPr>
            </w:pPr>
            <w:r w:rsidRPr="00064B75">
              <w:rPr>
                <w:rFonts w:cs="Arial"/>
                <w:bCs/>
                <w:color w:val="808080" w:themeColor="background1" w:themeShade="80"/>
                <w:szCs w:val="20"/>
                <w:lang w:val="en-US"/>
              </w:rPr>
              <w:t>1-May*</w:t>
            </w:r>
          </w:p>
        </w:tc>
        <w:tc>
          <w:tcPr>
            <w:tcW w:w="1347" w:type="dxa"/>
            <w:tcBorders>
              <w:top w:val="single" w:sz="12" w:space="0" w:color="000000" w:themeColor="text1"/>
              <w:left w:val="single" w:sz="2" w:space="0" w:color="808080" w:themeColor="background1" w:themeShade="80"/>
              <w:bottom w:val="single" w:sz="12" w:space="0" w:color="000000" w:themeColor="text1"/>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1-Feb</w:t>
            </w:r>
          </w:p>
        </w:tc>
        <w:tc>
          <w:tcPr>
            <w:tcW w:w="1092" w:type="dxa"/>
            <w:tcBorders>
              <w:top w:val="nil"/>
              <w:left w:val="single" w:sz="12" w:space="0" w:color="auto"/>
              <w:bottom w:val="dashed" w:sz="2" w:space="0" w:color="808080" w:themeColor="background1" w:themeShade="80"/>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Serbia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1-Sep</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auto"/>
              <w:left w:val="single" w:sz="2" w:space="0" w:color="808080" w:themeColor="background1" w:themeShade="80"/>
              <w:bottom w:val="single" w:sz="12" w:space="0" w:color="auto"/>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dashed" w:sz="2" w:space="0" w:color="808080" w:themeColor="background1" w:themeShade="80"/>
              <w:left w:val="single" w:sz="2" w:space="0" w:color="808080" w:themeColor="background1" w:themeShade="80"/>
              <w:bottom w:val="dashed" w:sz="2" w:space="0" w:color="808080" w:themeColor="background1" w:themeShade="80"/>
              <w:right w:val="dashed" w:sz="2" w:space="0" w:color="808080" w:themeColor="background1" w:themeShade="80"/>
            </w:tcBorders>
            <w:vAlign w:val="center"/>
            <w:hideMark/>
          </w:tcPr>
          <w:p w:rsidR="00162CA7" w:rsidRPr="00064B75" w:rsidRDefault="00162CA7" w:rsidP="00150A86">
            <w:pPr>
              <w:jc w:val="center"/>
              <w:rPr>
                <w:rFonts w:cs="Arial"/>
                <w:bCs/>
                <w:color w:val="000000"/>
                <w:szCs w:val="20"/>
                <w:lang w:val="en-US"/>
              </w:rPr>
            </w:pPr>
            <w:r w:rsidRPr="00064B75">
              <w:rPr>
                <w:rFonts w:cs="Arial"/>
                <w:bCs/>
                <w:color w:val="808080" w:themeColor="background1" w:themeShade="80"/>
                <w:szCs w:val="20"/>
                <w:lang w:val="en-US"/>
              </w:rPr>
              <w:t>1-Mar 25</w:t>
            </w: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Slovak Republic</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bCs/>
                <w:color w:val="808080" w:themeColor="background1" w:themeShade="80"/>
                <w:szCs w:val="20"/>
                <w:lang w:val="en-US"/>
              </w:rPr>
            </w:pPr>
            <w:r w:rsidRPr="00064B75">
              <w:rPr>
                <w:rFonts w:cs="Arial"/>
                <w:bCs/>
                <w:color w:val="808080" w:themeColor="background1" w:themeShade="80"/>
                <w:szCs w:val="20"/>
                <w:lang w:val="en-US"/>
              </w:rPr>
              <w:t>1-Jan*</w:t>
            </w:r>
          </w:p>
        </w:tc>
        <w:tc>
          <w:tcPr>
            <w:tcW w:w="1347" w:type="dxa"/>
            <w:tcBorders>
              <w:top w:val="single" w:sz="12" w:space="0" w:color="000000" w:themeColor="text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12" w:space="0" w:color="000000" w:themeColor="text1"/>
              <w:right w:val="single" w:sz="12" w:space="0" w:color="auto"/>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1-Jan</w:t>
            </w:r>
          </w:p>
        </w:tc>
        <w:tc>
          <w:tcPr>
            <w:tcW w:w="1092" w:type="dxa"/>
            <w:tcBorders>
              <w:top w:val="dashed" w:sz="2" w:space="0" w:color="808080" w:themeColor="background1" w:themeShade="80"/>
              <w:left w:val="single" w:sz="12" w:space="0" w:color="auto"/>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Slovenia</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bCs/>
                <w:color w:val="808080" w:themeColor="background1" w:themeShade="80"/>
                <w:szCs w:val="20"/>
                <w:lang w:val="en-US"/>
              </w:rPr>
            </w:pPr>
            <w:r w:rsidRPr="00064B75">
              <w:rPr>
                <w:rFonts w:cs="Arial"/>
                <w:bCs/>
                <w:color w:val="808080" w:themeColor="background1" w:themeShade="80"/>
                <w:szCs w:val="20"/>
                <w:lang w:val="en-US"/>
              </w:rPr>
              <w:t>1-Jan*</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1-Jan</w:t>
            </w:r>
          </w:p>
        </w:tc>
        <w:tc>
          <w:tcPr>
            <w:tcW w:w="1568" w:type="dxa"/>
            <w:tcBorders>
              <w:top w:val="single" w:sz="12" w:space="0" w:color="auto"/>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Spain</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noWrap/>
            <w:vAlign w:val="center"/>
            <w:hideMark/>
          </w:tcPr>
          <w:p w:rsidR="00162CA7" w:rsidRPr="00064B75" w:rsidRDefault="00162CA7" w:rsidP="00150A86">
            <w:pPr>
              <w:jc w:val="center"/>
              <w:rPr>
                <w:rFonts w:cs="Arial"/>
                <w:szCs w:val="20"/>
                <w:lang w:val="en-US"/>
              </w:rPr>
            </w:pPr>
            <w:r w:rsidRPr="00064B75">
              <w:rPr>
                <w:rFonts w:cs="Arial"/>
                <w:color w:val="808080" w:themeColor="background1" w:themeShade="80"/>
                <w:szCs w:val="20"/>
                <w:lang w:val="en-US"/>
              </w:rPr>
              <w:t>1-Aug*</w:t>
            </w:r>
          </w:p>
        </w:tc>
        <w:tc>
          <w:tcPr>
            <w:tcW w:w="1418" w:type="dxa"/>
            <w:tcBorders>
              <w:top w:val="single" w:sz="2" w:space="0" w:color="808080" w:themeColor="background1" w:themeShade="80"/>
              <w:left w:val="single" w:sz="2" w:space="0" w:color="808080" w:themeColor="background1" w:themeShade="80"/>
              <w:bottom w:val="single" w:sz="12" w:space="0" w:color="000000" w:themeColor="text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1-Aug</w:t>
            </w:r>
          </w:p>
        </w:tc>
        <w:tc>
          <w:tcPr>
            <w:tcW w:w="1568"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Sweden</w:t>
            </w:r>
          </w:p>
        </w:tc>
        <w:tc>
          <w:tcPr>
            <w:tcW w:w="1417" w:type="dxa"/>
            <w:tcBorders>
              <w:top w:val="single" w:sz="2" w:space="0" w:color="808080" w:themeColor="background1" w:themeShade="80"/>
              <w:left w:val="single" w:sz="2" w:space="0" w:color="808080" w:themeColor="background1" w:themeShade="80"/>
              <w:bottom w:val="single" w:sz="12" w:space="0" w:color="000000" w:themeColor="text1"/>
              <w:right w:val="single" w:sz="12" w:space="0" w:color="000000" w:themeColor="text1"/>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1-Jun</w:t>
            </w:r>
          </w:p>
        </w:tc>
        <w:tc>
          <w:tcPr>
            <w:tcW w:w="1347" w:type="dxa"/>
            <w:tcBorders>
              <w:top w:val="single" w:sz="2" w:space="0" w:color="808080" w:themeColor="background1" w:themeShade="80"/>
              <w:left w:val="single" w:sz="12" w:space="0" w:color="000000" w:themeColor="text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BFBFBF"/>
                <w:szCs w:val="20"/>
                <w:lang w:val="en-US"/>
              </w:rPr>
            </w:pPr>
            <w:r w:rsidRPr="00064B75">
              <w:rPr>
                <w:rFonts w:cs="Arial"/>
                <w:color w:val="808080" w:themeColor="background1" w:themeShade="80"/>
                <w:szCs w:val="20"/>
                <w:lang w:val="en-US"/>
              </w:rPr>
              <w:t>1-Dec</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FF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Switzerland</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1-Dec</w:t>
            </w:r>
          </w:p>
        </w:tc>
        <w:tc>
          <w:tcPr>
            <w:tcW w:w="1418" w:type="dxa"/>
            <w:tcBorders>
              <w:top w:val="single" w:sz="12" w:space="0" w:color="000000" w:themeColor="text1"/>
              <w:left w:val="single" w:sz="12" w:space="0" w:color="000000" w:themeColor="text1"/>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rsidR="00162CA7" w:rsidRPr="00064B75" w:rsidRDefault="00162CA7" w:rsidP="00150A86">
            <w:pPr>
              <w:rPr>
                <w:rFonts w:cs="Arial"/>
                <w:szCs w:val="20"/>
                <w:lang w:eastAsia="en-GB"/>
              </w:rPr>
            </w:pP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bCs/>
                <w:color w:val="FF0000"/>
                <w:szCs w:val="20"/>
                <w:lang w:val="en-US"/>
              </w:rPr>
            </w:pPr>
            <w:r w:rsidRPr="00064B75">
              <w:rPr>
                <w:rFonts w:cs="Arial"/>
                <w:bCs/>
                <w:color w:val="808080" w:themeColor="background1" w:themeShade="80"/>
                <w:szCs w:val="20"/>
                <w:lang w:val="en-US"/>
              </w:rPr>
              <w:t>1-Jun</w:t>
            </w:r>
          </w:p>
        </w:tc>
        <w:tc>
          <w:tcPr>
            <w:tcW w:w="1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Ukraine</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rPr>
                <w:rFonts w:cs="Arial"/>
                <w:szCs w:val="20"/>
                <w:lang w:eastAsia="en-GB"/>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92D050"/>
                <w:szCs w:val="20"/>
                <w:lang w:val="en-US"/>
              </w:rPr>
            </w:pPr>
            <w:r w:rsidRPr="00064B75">
              <w:rPr>
                <w:rFonts w:cs="Arial"/>
                <w:color w:val="808080" w:themeColor="background1" w:themeShade="80"/>
                <w:szCs w:val="20"/>
                <w:lang w:val="en-US"/>
              </w:rPr>
              <w:t>1-Jan*</w:t>
            </w:r>
          </w:p>
        </w:tc>
        <w:tc>
          <w:tcPr>
            <w:tcW w:w="1568" w:type="dxa"/>
            <w:tcBorders>
              <w:top w:val="single" w:sz="2" w:space="0" w:color="808080" w:themeColor="background1" w:themeShade="80"/>
              <w:left w:val="single" w:sz="2" w:space="0" w:color="808080" w:themeColor="background1" w:themeShade="80"/>
              <w:bottom w:val="single" w:sz="12" w:space="0" w:color="000000" w:themeColor="text1"/>
              <w:right w:val="single" w:sz="12" w:space="0" w:color="000000" w:themeColor="text1"/>
            </w:tcBorders>
            <w:shd w:val="clear" w:color="auto" w:fill="FFFFFF"/>
            <w:noWrap/>
            <w:vAlign w:val="center"/>
            <w:hideMark/>
          </w:tcPr>
          <w:p w:rsidR="00162CA7" w:rsidRPr="00064B75" w:rsidRDefault="00162CA7" w:rsidP="00150A86">
            <w:pPr>
              <w:rPr>
                <w:rFonts w:cs="Arial"/>
                <w:szCs w:val="20"/>
                <w:lang w:eastAsia="en-GB"/>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1-May</w:t>
            </w:r>
          </w:p>
        </w:tc>
        <w:tc>
          <w:tcPr>
            <w:tcW w:w="1092" w:type="dxa"/>
            <w:tcBorders>
              <w:top w:val="nil"/>
              <w:left w:val="single" w:sz="12" w:space="0" w:color="000000" w:themeColor="text1"/>
              <w:bottom w:val="nil"/>
              <w:right w:val="nil"/>
            </w:tcBorders>
            <w:vAlign w:val="center"/>
          </w:tcPr>
          <w:p w:rsidR="00162CA7" w:rsidRPr="00064B75" w:rsidRDefault="00162CA7" w:rsidP="00150A86">
            <w:pPr>
              <w:jc w:val="center"/>
              <w:rPr>
                <w:rFonts w:cs="Arial"/>
                <w:b/>
                <w:bCs/>
                <w:color w:val="000000"/>
                <w:szCs w:val="20"/>
                <w:lang w:val="en-US"/>
              </w:rPr>
            </w:pPr>
          </w:p>
        </w:tc>
      </w:tr>
      <w:tr w:rsidR="00162CA7" w:rsidRPr="00064B75" w:rsidTr="00150A86">
        <w:trPr>
          <w:trHeight w:val="340"/>
        </w:trPr>
        <w:tc>
          <w:tcPr>
            <w:tcW w:w="223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vAlign w:val="center"/>
            <w:hideMark/>
          </w:tcPr>
          <w:p w:rsidR="00162CA7" w:rsidRPr="00064B75" w:rsidRDefault="00162CA7" w:rsidP="00150A86">
            <w:pPr>
              <w:rPr>
                <w:rFonts w:cs="Arial"/>
                <w:color w:val="000000"/>
                <w:szCs w:val="20"/>
                <w:lang w:val="en-US"/>
              </w:rPr>
            </w:pPr>
            <w:r w:rsidRPr="00064B75">
              <w:rPr>
                <w:rFonts w:cs="Arial"/>
                <w:color w:val="000000"/>
                <w:szCs w:val="20"/>
                <w:lang w:val="en-US"/>
              </w:rPr>
              <w:t>United Kingdom</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hideMark/>
          </w:tcPr>
          <w:p w:rsidR="00162CA7" w:rsidRPr="00064B75" w:rsidRDefault="00162CA7" w:rsidP="00150A86">
            <w:pPr>
              <w:jc w:val="center"/>
              <w:rPr>
                <w:rFonts w:cs="Arial"/>
                <w:color w:val="808080" w:themeColor="background1" w:themeShade="80"/>
                <w:szCs w:val="20"/>
                <w:lang w:val="en-US"/>
              </w:rPr>
            </w:pPr>
            <w:r w:rsidRPr="00064B75">
              <w:rPr>
                <w:rFonts w:cs="Arial"/>
                <w:color w:val="808080" w:themeColor="background1" w:themeShade="80"/>
                <w:szCs w:val="20"/>
                <w:lang w:val="en-US"/>
              </w:rPr>
              <w:t>1-Jul*</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noWrap/>
            <w:vAlign w:val="center"/>
          </w:tcPr>
          <w:p w:rsidR="00162CA7" w:rsidRPr="00064B75" w:rsidRDefault="00162CA7" w:rsidP="00150A86">
            <w:pPr>
              <w:jc w:val="center"/>
              <w:rPr>
                <w:rFonts w:cs="Arial"/>
                <w:b/>
                <w:bCs/>
                <w:color w:val="000000"/>
                <w:szCs w:val="20"/>
                <w:lang w:val="en-US"/>
              </w:rPr>
            </w:pPr>
          </w:p>
        </w:tc>
        <w:tc>
          <w:tcPr>
            <w:tcW w:w="13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hemeShade="80"/>
            </w:tcBorders>
            <w:shd w:val="clear" w:color="auto" w:fill="FFFFFF"/>
            <w:noWrap/>
            <w:vAlign w:val="center"/>
          </w:tcPr>
          <w:p w:rsidR="00162CA7" w:rsidRPr="00064B75" w:rsidRDefault="00162CA7" w:rsidP="00150A86">
            <w:pPr>
              <w:jc w:val="center"/>
              <w:rPr>
                <w:rFonts w:cs="Arial"/>
                <w:b/>
                <w:bCs/>
                <w:color w:val="000000"/>
                <w:szCs w:val="20"/>
                <w:lang w:val="en-US"/>
              </w:rPr>
            </w:pP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noWrap/>
            <w:vAlign w:val="center"/>
            <w:hideMark/>
          </w:tcPr>
          <w:p w:rsidR="00162CA7" w:rsidRPr="00064B75" w:rsidRDefault="00162CA7" w:rsidP="00150A86">
            <w:pPr>
              <w:jc w:val="center"/>
              <w:rPr>
                <w:rFonts w:cs="Arial"/>
                <w:b/>
                <w:bCs/>
                <w:color w:val="000000"/>
                <w:szCs w:val="20"/>
                <w:lang w:val="en-US"/>
              </w:rPr>
            </w:pPr>
            <w:r w:rsidRPr="00064B75">
              <w:rPr>
                <w:rFonts w:cs="Arial"/>
                <w:b/>
                <w:bCs/>
                <w:color w:val="000000"/>
                <w:szCs w:val="20"/>
                <w:lang w:val="en-US"/>
              </w:rPr>
              <w:t>1-Jul</w:t>
            </w:r>
          </w:p>
        </w:tc>
        <w:tc>
          <w:tcPr>
            <w:tcW w:w="1568" w:type="dxa"/>
            <w:tcBorders>
              <w:top w:val="single" w:sz="12" w:space="0" w:color="000000" w:themeColor="text1"/>
              <w:left w:val="single" w:sz="12" w:space="0" w:color="000000" w:themeColor="text1"/>
              <w:bottom w:val="single" w:sz="2" w:space="0" w:color="808080" w:themeColor="background1" w:themeShade="80"/>
              <w:right w:val="single" w:sz="2" w:space="0" w:color="808080" w:themeColor="background1" w:themeShade="80"/>
            </w:tcBorders>
            <w:shd w:val="clear" w:color="auto" w:fill="FFFFFF" w:themeFill="background1"/>
            <w:noWrap/>
            <w:vAlign w:val="center"/>
          </w:tcPr>
          <w:p w:rsidR="00162CA7" w:rsidRPr="00064B75" w:rsidRDefault="00162CA7" w:rsidP="00150A86">
            <w:pPr>
              <w:jc w:val="center"/>
              <w:rPr>
                <w:rFonts w:cs="Arial"/>
                <w:b/>
                <w:bCs/>
                <w:color w:val="B8CCE4"/>
                <w:szCs w:val="20"/>
                <w:lang w:val="en-US"/>
              </w:rPr>
            </w:pPr>
          </w:p>
        </w:tc>
        <w:tc>
          <w:tcPr>
            <w:tcW w:w="1092" w:type="dxa"/>
            <w:tcBorders>
              <w:top w:val="nil"/>
              <w:left w:val="single" w:sz="2" w:space="0" w:color="808080" w:themeColor="background1" w:themeShade="80"/>
              <w:bottom w:val="nil"/>
              <w:right w:val="nil"/>
            </w:tcBorders>
            <w:vAlign w:val="center"/>
          </w:tcPr>
          <w:p w:rsidR="00162CA7" w:rsidRPr="00064B75" w:rsidRDefault="00162CA7" w:rsidP="00150A86">
            <w:pPr>
              <w:jc w:val="center"/>
              <w:rPr>
                <w:rFonts w:cs="Arial"/>
                <w:b/>
                <w:bCs/>
                <w:color w:val="B8CCE4"/>
                <w:szCs w:val="20"/>
                <w:lang w:val="en-US"/>
              </w:rPr>
            </w:pPr>
          </w:p>
        </w:tc>
      </w:tr>
      <w:tr w:rsidR="00162CA7" w:rsidRPr="00A555FC" w:rsidTr="00150A86">
        <w:trPr>
          <w:trHeight w:val="20"/>
        </w:trPr>
        <w:tc>
          <w:tcPr>
            <w:tcW w:w="2235" w:type="dxa"/>
            <w:gridSpan w:val="2"/>
            <w:tcBorders>
              <w:top w:val="single" w:sz="2" w:space="0" w:color="808080" w:themeColor="background1" w:themeShade="80"/>
              <w:left w:val="nil"/>
              <w:bottom w:val="nil"/>
              <w:right w:val="nil"/>
            </w:tcBorders>
            <w:vAlign w:val="center"/>
          </w:tcPr>
          <w:p w:rsidR="00162CA7" w:rsidRPr="00A555FC" w:rsidRDefault="00162CA7" w:rsidP="00150A86">
            <w:pPr>
              <w:rPr>
                <w:rFonts w:cs="Arial"/>
                <w:color w:val="000000"/>
                <w:sz w:val="16"/>
                <w:szCs w:val="16"/>
                <w:lang w:val="en-US"/>
              </w:rPr>
            </w:pPr>
          </w:p>
        </w:tc>
        <w:tc>
          <w:tcPr>
            <w:tcW w:w="1417" w:type="dxa"/>
            <w:tcBorders>
              <w:top w:val="single" w:sz="2" w:space="0" w:color="808080" w:themeColor="background1" w:themeShade="80"/>
              <w:left w:val="nil"/>
              <w:bottom w:val="nil"/>
              <w:right w:val="nil"/>
            </w:tcBorders>
            <w:noWrap/>
            <w:vAlign w:val="center"/>
          </w:tcPr>
          <w:p w:rsidR="00162CA7" w:rsidRPr="00A555FC" w:rsidRDefault="00162CA7" w:rsidP="00150A86">
            <w:pPr>
              <w:jc w:val="center"/>
              <w:rPr>
                <w:rFonts w:cs="Arial"/>
                <w:b/>
                <w:bCs/>
                <w:color w:val="00B0F0"/>
                <w:sz w:val="16"/>
                <w:szCs w:val="16"/>
                <w:lang w:val="en-US"/>
              </w:rPr>
            </w:pPr>
          </w:p>
        </w:tc>
        <w:tc>
          <w:tcPr>
            <w:tcW w:w="1418" w:type="dxa"/>
            <w:tcBorders>
              <w:top w:val="single" w:sz="2" w:space="0" w:color="808080" w:themeColor="background1" w:themeShade="80"/>
              <w:left w:val="nil"/>
              <w:bottom w:val="nil"/>
              <w:right w:val="nil"/>
            </w:tcBorders>
            <w:noWrap/>
            <w:vAlign w:val="center"/>
          </w:tcPr>
          <w:p w:rsidR="00162CA7" w:rsidRPr="00A555FC" w:rsidRDefault="00162CA7" w:rsidP="00150A86">
            <w:pPr>
              <w:jc w:val="center"/>
              <w:rPr>
                <w:rFonts w:cs="Arial"/>
                <w:b/>
                <w:bCs/>
                <w:color w:val="00B0F0"/>
                <w:sz w:val="16"/>
                <w:szCs w:val="16"/>
                <w:lang w:val="en-US"/>
              </w:rPr>
            </w:pPr>
          </w:p>
        </w:tc>
        <w:tc>
          <w:tcPr>
            <w:tcW w:w="1347" w:type="dxa"/>
            <w:tcBorders>
              <w:top w:val="single" w:sz="2" w:space="0" w:color="808080" w:themeColor="background1" w:themeShade="80"/>
              <w:left w:val="nil"/>
              <w:bottom w:val="nil"/>
              <w:right w:val="nil"/>
            </w:tcBorders>
            <w:noWrap/>
            <w:vAlign w:val="center"/>
          </w:tcPr>
          <w:p w:rsidR="00162CA7" w:rsidRPr="00A555FC" w:rsidRDefault="00162CA7" w:rsidP="00150A86">
            <w:pPr>
              <w:jc w:val="center"/>
              <w:rPr>
                <w:rFonts w:cs="Arial"/>
                <w:color w:val="92D050"/>
                <w:sz w:val="16"/>
                <w:szCs w:val="16"/>
                <w:lang w:val="en-US"/>
              </w:rPr>
            </w:pPr>
          </w:p>
        </w:tc>
        <w:tc>
          <w:tcPr>
            <w:tcW w:w="1568" w:type="dxa"/>
            <w:tcBorders>
              <w:top w:val="single" w:sz="12" w:space="0" w:color="000000" w:themeColor="text1"/>
              <w:left w:val="nil"/>
              <w:bottom w:val="nil"/>
              <w:right w:val="nil"/>
            </w:tcBorders>
            <w:noWrap/>
            <w:vAlign w:val="center"/>
          </w:tcPr>
          <w:p w:rsidR="00162CA7" w:rsidRPr="00A555FC" w:rsidRDefault="00162CA7" w:rsidP="00150A86">
            <w:pPr>
              <w:jc w:val="center"/>
              <w:rPr>
                <w:rFonts w:cs="Arial"/>
                <w:b/>
                <w:bCs/>
                <w:color w:val="000000"/>
                <w:sz w:val="16"/>
                <w:szCs w:val="16"/>
                <w:lang w:val="en-US"/>
              </w:rPr>
            </w:pPr>
          </w:p>
        </w:tc>
        <w:tc>
          <w:tcPr>
            <w:tcW w:w="1568" w:type="dxa"/>
            <w:tcBorders>
              <w:top w:val="single" w:sz="2" w:space="0" w:color="808080" w:themeColor="background1" w:themeShade="80"/>
              <w:left w:val="nil"/>
              <w:bottom w:val="nil"/>
              <w:right w:val="nil"/>
            </w:tcBorders>
            <w:noWrap/>
            <w:vAlign w:val="center"/>
          </w:tcPr>
          <w:p w:rsidR="00162CA7" w:rsidRPr="00A555FC" w:rsidRDefault="00162CA7" w:rsidP="00150A86">
            <w:pPr>
              <w:jc w:val="center"/>
              <w:rPr>
                <w:rFonts w:cs="Arial"/>
                <w:b/>
                <w:bCs/>
                <w:color w:val="000000"/>
                <w:sz w:val="16"/>
                <w:szCs w:val="16"/>
                <w:lang w:val="en-US"/>
              </w:rPr>
            </w:pPr>
          </w:p>
        </w:tc>
        <w:tc>
          <w:tcPr>
            <w:tcW w:w="1092" w:type="dxa"/>
            <w:tcBorders>
              <w:top w:val="nil"/>
              <w:left w:val="nil"/>
              <w:bottom w:val="nil"/>
              <w:right w:val="nil"/>
            </w:tcBorders>
            <w:vAlign w:val="center"/>
          </w:tcPr>
          <w:p w:rsidR="00162CA7" w:rsidRPr="00A555FC" w:rsidRDefault="00162CA7" w:rsidP="00150A86">
            <w:pPr>
              <w:jc w:val="center"/>
              <w:rPr>
                <w:rFonts w:cs="Arial"/>
                <w:b/>
                <w:bCs/>
                <w:color w:val="000000"/>
                <w:sz w:val="16"/>
                <w:szCs w:val="16"/>
                <w:lang w:val="en-US"/>
              </w:rPr>
            </w:pPr>
          </w:p>
        </w:tc>
      </w:tr>
      <w:tr w:rsidR="00162CA7" w:rsidRPr="00A43278" w:rsidTr="00150A86">
        <w:trPr>
          <w:trHeight w:val="20"/>
        </w:trPr>
        <w:tc>
          <w:tcPr>
            <w:tcW w:w="675" w:type="dxa"/>
            <w:tcBorders>
              <w:top w:val="nil"/>
              <w:left w:val="nil"/>
              <w:bottom w:val="nil"/>
              <w:right w:val="single" w:sz="2" w:space="0" w:color="808080" w:themeColor="background1" w:themeShade="80"/>
            </w:tcBorders>
            <w:vAlign w:val="center"/>
          </w:tcPr>
          <w:p w:rsidR="00162CA7" w:rsidRPr="00064B75" w:rsidRDefault="00162CA7" w:rsidP="00150A86">
            <w:pPr>
              <w:rPr>
                <w:rFonts w:cs="Arial"/>
                <w:color w:val="000000"/>
                <w:sz w:val="18"/>
                <w:szCs w:val="18"/>
                <w:lang w:val="en-US"/>
              </w:rPr>
            </w:pPr>
          </w:p>
        </w:tc>
        <w:tc>
          <w:tcPr>
            <w:tcW w:w="156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hideMark/>
          </w:tcPr>
          <w:p w:rsidR="00162CA7" w:rsidRPr="00064B75" w:rsidRDefault="00162CA7" w:rsidP="00150A86">
            <w:pPr>
              <w:rPr>
                <w:rFonts w:cs="Arial"/>
                <w:b/>
                <w:color w:val="92D050"/>
                <w:sz w:val="18"/>
                <w:szCs w:val="18"/>
                <w:lang w:val="en-US"/>
              </w:rPr>
            </w:pPr>
            <w:r w:rsidRPr="00064B75">
              <w:rPr>
                <w:rFonts w:cs="Arial"/>
                <w:color w:val="808080" w:themeColor="background1" w:themeShade="80"/>
                <w:sz w:val="18"/>
                <w:szCs w:val="18"/>
                <w:lang w:val="en-US"/>
              </w:rPr>
              <w:t>Date</w:t>
            </w:r>
          </w:p>
        </w:tc>
        <w:tc>
          <w:tcPr>
            <w:tcW w:w="7318" w:type="dxa"/>
            <w:gridSpan w:val="5"/>
            <w:vMerge w:val="restart"/>
            <w:tcBorders>
              <w:top w:val="nil"/>
              <w:left w:val="single" w:sz="2" w:space="0" w:color="808080" w:themeColor="background1" w:themeShade="80"/>
              <w:bottom w:val="nil"/>
              <w:right w:val="nil"/>
            </w:tcBorders>
            <w:shd w:val="clear" w:color="auto" w:fill="FFFFFF" w:themeFill="background1"/>
            <w:noWrap/>
            <w:vAlign w:val="center"/>
            <w:hideMark/>
          </w:tcPr>
          <w:p w:rsidR="00162CA7" w:rsidRPr="00064B75" w:rsidRDefault="00162CA7" w:rsidP="00150A86">
            <w:pPr>
              <w:ind w:left="141" w:hanging="141"/>
              <w:rPr>
                <w:rFonts w:cs="Arial"/>
                <w:b/>
                <w:bCs/>
                <w:color w:val="000000"/>
                <w:sz w:val="18"/>
                <w:szCs w:val="18"/>
                <w:lang w:val="en-US"/>
              </w:rPr>
            </w:pPr>
            <w:r w:rsidRPr="00064B75">
              <w:rPr>
                <w:rFonts w:cs="Arial"/>
                <w:color w:val="000000"/>
                <w:sz w:val="18"/>
                <w:szCs w:val="18"/>
                <w:lang w:val="en-US"/>
              </w:rPr>
              <w:t>►Dates for submission of ECRML information on implementation of recommendations for immediate action</w:t>
            </w:r>
          </w:p>
        </w:tc>
        <w:tc>
          <w:tcPr>
            <w:tcW w:w="1092" w:type="dxa"/>
            <w:tcBorders>
              <w:top w:val="nil"/>
              <w:left w:val="nil"/>
              <w:bottom w:val="nil"/>
              <w:right w:val="nil"/>
            </w:tcBorders>
            <w:vAlign w:val="center"/>
          </w:tcPr>
          <w:p w:rsidR="00162CA7" w:rsidRDefault="00162CA7" w:rsidP="00150A86">
            <w:pPr>
              <w:jc w:val="center"/>
              <w:rPr>
                <w:rFonts w:ascii="Arial Narrow" w:hAnsi="Arial Narrow"/>
                <w:color w:val="000000"/>
                <w:sz w:val="18"/>
                <w:szCs w:val="18"/>
                <w:lang w:val="en-US"/>
              </w:rPr>
            </w:pPr>
          </w:p>
        </w:tc>
      </w:tr>
      <w:tr w:rsidR="00162CA7" w:rsidRPr="00A43278" w:rsidTr="00150A86">
        <w:trPr>
          <w:trHeight w:val="43"/>
        </w:trPr>
        <w:tc>
          <w:tcPr>
            <w:tcW w:w="2235" w:type="dxa"/>
            <w:gridSpan w:val="2"/>
            <w:tcBorders>
              <w:top w:val="nil"/>
              <w:left w:val="nil"/>
              <w:bottom w:val="nil"/>
              <w:right w:val="nil"/>
            </w:tcBorders>
            <w:vAlign w:val="center"/>
          </w:tcPr>
          <w:p w:rsidR="00162CA7" w:rsidRPr="00064B75" w:rsidRDefault="00162CA7" w:rsidP="00150A86">
            <w:pPr>
              <w:rPr>
                <w:rFonts w:cs="Arial"/>
                <w:color w:val="000000"/>
                <w:sz w:val="18"/>
                <w:szCs w:val="18"/>
                <w:lang w:val="en-US"/>
              </w:rPr>
            </w:pPr>
          </w:p>
        </w:tc>
        <w:tc>
          <w:tcPr>
            <w:tcW w:w="7318" w:type="dxa"/>
            <w:gridSpan w:val="5"/>
            <w:vMerge/>
            <w:tcBorders>
              <w:top w:val="nil"/>
              <w:left w:val="single" w:sz="2" w:space="0" w:color="808080" w:themeColor="background1" w:themeShade="80"/>
              <w:bottom w:val="nil"/>
              <w:right w:val="nil"/>
            </w:tcBorders>
            <w:vAlign w:val="center"/>
            <w:hideMark/>
          </w:tcPr>
          <w:p w:rsidR="00162CA7" w:rsidRPr="00064B75" w:rsidRDefault="00162CA7" w:rsidP="00150A86">
            <w:pPr>
              <w:rPr>
                <w:rFonts w:cs="Arial"/>
                <w:b/>
                <w:bCs/>
                <w:color w:val="000000"/>
                <w:sz w:val="18"/>
                <w:szCs w:val="18"/>
                <w:lang w:val="en-US"/>
              </w:rPr>
            </w:pPr>
          </w:p>
        </w:tc>
        <w:tc>
          <w:tcPr>
            <w:tcW w:w="1092" w:type="dxa"/>
            <w:tcBorders>
              <w:top w:val="nil"/>
              <w:left w:val="nil"/>
              <w:bottom w:val="nil"/>
              <w:right w:val="nil"/>
            </w:tcBorders>
            <w:vAlign w:val="center"/>
          </w:tcPr>
          <w:p w:rsidR="00162CA7" w:rsidRDefault="00162CA7" w:rsidP="00150A86">
            <w:pPr>
              <w:jc w:val="center"/>
              <w:rPr>
                <w:rFonts w:ascii="Arial Narrow" w:hAnsi="Arial Narrow"/>
                <w:bCs/>
                <w:color w:val="000000"/>
                <w:sz w:val="10"/>
                <w:szCs w:val="10"/>
                <w:lang w:val="en-US"/>
              </w:rPr>
            </w:pPr>
          </w:p>
        </w:tc>
      </w:tr>
      <w:tr w:rsidR="00162CA7" w:rsidRPr="00A43278" w:rsidTr="00150A86">
        <w:trPr>
          <w:trHeight w:val="20"/>
        </w:trPr>
        <w:tc>
          <w:tcPr>
            <w:tcW w:w="675" w:type="dxa"/>
            <w:tcBorders>
              <w:top w:val="nil"/>
              <w:left w:val="nil"/>
              <w:bottom w:val="nil"/>
              <w:right w:val="single" w:sz="12" w:space="0" w:color="000000" w:themeColor="text1"/>
            </w:tcBorders>
            <w:vAlign w:val="center"/>
          </w:tcPr>
          <w:p w:rsidR="00162CA7" w:rsidRPr="00064B75" w:rsidRDefault="00162CA7" w:rsidP="00150A86">
            <w:pPr>
              <w:rPr>
                <w:rFonts w:cs="Arial"/>
                <w:color w:val="000000"/>
                <w:sz w:val="18"/>
                <w:szCs w:val="18"/>
                <w:lang w:val="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hideMark/>
          </w:tcPr>
          <w:p w:rsidR="00162CA7" w:rsidRPr="00064B75" w:rsidRDefault="00162CA7" w:rsidP="00150A86">
            <w:pPr>
              <w:rPr>
                <w:rFonts w:cs="Arial"/>
                <w:b/>
                <w:color w:val="000000"/>
                <w:sz w:val="18"/>
                <w:szCs w:val="18"/>
                <w:lang w:val="en-US"/>
              </w:rPr>
            </w:pPr>
            <w:r w:rsidRPr="00064B75">
              <w:rPr>
                <w:rFonts w:cs="Arial"/>
                <w:b/>
                <w:color w:val="000000"/>
                <w:sz w:val="18"/>
                <w:szCs w:val="18"/>
                <w:lang w:val="en-US"/>
              </w:rPr>
              <w:t>Date</w:t>
            </w:r>
          </w:p>
        </w:tc>
        <w:tc>
          <w:tcPr>
            <w:tcW w:w="7318" w:type="dxa"/>
            <w:gridSpan w:val="5"/>
            <w:vMerge w:val="restart"/>
            <w:tcBorders>
              <w:top w:val="nil"/>
              <w:left w:val="single" w:sz="12" w:space="0" w:color="000000" w:themeColor="text1"/>
              <w:bottom w:val="nil"/>
              <w:right w:val="nil"/>
            </w:tcBorders>
            <w:shd w:val="clear" w:color="auto" w:fill="FFFFFF" w:themeFill="background1"/>
            <w:noWrap/>
            <w:vAlign w:val="center"/>
            <w:hideMark/>
          </w:tcPr>
          <w:p w:rsidR="00162CA7" w:rsidRPr="00064B75" w:rsidRDefault="00162CA7" w:rsidP="00150A86">
            <w:pPr>
              <w:ind w:left="175" w:hanging="199"/>
              <w:rPr>
                <w:rFonts w:cs="Arial"/>
                <w:b/>
                <w:bCs/>
                <w:color w:val="000000"/>
                <w:sz w:val="18"/>
                <w:szCs w:val="18"/>
                <w:lang w:val="en-US"/>
              </w:rPr>
            </w:pPr>
            <w:r w:rsidRPr="00064B75">
              <w:rPr>
                <w:rFonts w:cs="Arial"/>
                <w:color w:val="000000"/>
                <w:sz w:val="18"/>
                <w:szCs w:val="18"/>
                <w:lang w:val="en-US"/>
              </w:rPr>
              <w:t>►Dates for submission of ECRML and FCNM periodical reports</w:t>
            </w:r>
          </w:p>
        </w:tc>
        <w:tc>
          <w:tcPr>
            <w:tcW w:w="1092" w:type="dxa"/>
            <w:tcBorders>
              <w:top w:val="nil"/>
              <w:left w:val="nil"/>
              <w:bottom w:val="nil"/>
              <w:right w:val="nil"/>
            </w:tcBorders>
            <w:vAlign w:val="center"/>
          </w:tcPr>
          <w:p w:rsidR="00162CA7" w:rsidRDefault="00162CA7" w:rsidP="00150A86">
            <w:pPr>
              <w:ind w:left="175" w:hanging="199"/>
              <w:jc w:val="center"/>
              <w:rPr>
                <w:rFonts w:ascii="Arial Narrow" w:hAnsi="Arial Narrow"/>
                <w:color w:val="000000"/>
                <w:sz w:val="18"/>
                <w:szCs w:val="18"/>
                <w:lang w:val="en-US"/>
              </w:rPr>
            </w:pPr>
          </w:p>
        </w:tc>
      </w:tr>
      <w:tr w:rsidR="00162CA7" w:rsidRPr="00A43278" w:rsidTr="00150A86">
        <w:trPr>
          <w:trHeight w:val="19"/>
        </w:trPr>
        <w:tc>
          <w:tcPr>
            <w:tcW w:w="2235" w:type="dxa"/>
            <w:gridSpan w:val="2"/>
            <w:tcBorders>
              <w:top w:val="nil"/>
              <w:left w:val="nil"/>
              <w:bottom w:val="nil"/>
              <w:right w:val="nil"/>
            </w:tcBorders>
            <w:vAlign w:val="center"/>
          </w:tcPr>
          <w:p w:rsidR="00162CA7" w:rsidRPr="00064B75" w:rsidRDefault="00162CA7" w:rsidP="00150A86">
            <w:pPr>
              <w:rPr>
                <w:rFonts w:cs="Arial"/>
                <w:color w:val="000000"/>
                <w:sz w:val="18"/>
                <w:szCs w:val="18"/>
                <w:lang w:val="en-US"/>
              </w:rPr>
            </w:pPr>
          </w:p>
        </w:tc>
        <w:tc>
          <w:tcPr>
            <w:tcW w:w="7318" w:type="dxa"/>
            <w:gridSpan w:val="5"/>
            <w:vMerge/>
            <w:tcBorders>
              <w:top w:val="nil"/>
              <w:left w:val="single" w:sz="12" w:space="0" w:color="000000" w:themeColor="text1"/>
              <w:bottom w:val="nil"/>
              <w:right w:val="nil"/>
            </w:tcBorders>
            <w:vAlign w:val="center"/>
            <w:hideMark/>
          </w:tcPr>
          <w:p w:rsidR="00162CA7" w:rsidRPr="00064B75" w:rsidRDefault="00162CA7" w:rsidP="00150A86">
            <w:pPr>
              <w:rPr>
                <w:rFonts w:cs="Arial"/>
                <w:b/>
                <w:bCs/>
                <w:color w:val="000000"/>
                <w:sz w:val="18"/>
                <w:szCs w:val="18"/>
                <w:lang w:val="en-US"/>
              </w:rPr>
            </w:pPr>
          </w:p>
        </w:tc>
        <w:tc>
          <w:tcPr>
            <w:tcW w:w="1092" w:type="dxa"/>
            <w:tcBorders>
              <w:top w:val="nil"/>
              <w:left w:val="nil"/>
              <w:bottom w:val="nil"/>
              <w:right w:val="nil"/>
            </w:tcBorders>
            <w:vAlign w:val="center"/>
          </w:tcPr>
          <w:p w:rsidR="00162CA7" w:rsidRDefault="00162CA7" w:rsidP="00150A86">
            <w:pPr>
              <w:ind w:left="175" w:hanging="199"/>
              <w:jc w:val="center"/>
              <w:rPr>
                <w:rFonts w:ascii="Arial Narrow" w:hAnsi="Arial Narrow"/>
                <w:color w:val="000000"/>
                <w:sz w:val="10"/>
                <w:szCs w:val="10"/>
                <w:lang w:val="en-US"/>
              </w:rPr>
            </w:pPr>
          </w:p>
        </w:tc>
      </w:tr>
      <w:tr w:rsidR="00162CA7" w:rsidRPr="00A43278" w:rsidTr="00150A86">
        <w:trPr>
          <w:trHeight w:val="20"/>
        </w:trPr>
        <w:tc>
          <w:tcPr>
            <w:tcW w:w="675" w:type="dxa"/>
            <w:tcBorders>
              <w:top w:val="nil"/>
              <w:left w:val="nil"/>
              <w:bottom w:val="nil"/>
              <w:right w:val="single" w:sz="2" w:space="0" w:color="808080" w:themeColor="background1" w:themeShade="80"/>
            </w:tcBorders>
            <w:vAlign w:val="center"/>
          </w:tcPr>
          <w:p w:rsidR="00162CA7" w:rsidRPr="00064B75" w:rsidRDefault="00162CA7" w:rsidP="00150A86">
            <w:pPr>
              <w:rPr>
                <w:rFonts w:cs="Arial"/>
                <w:color w:val="000000"/>
                <w:sz w:val="18"/>
                <w:szCs w:val="18"/>
                <w:lang w:val="en-US"/>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vAlign w:val="center"/>
            <w:hideMark/>
          </w:tcPr>
          <w:p w:rsidR="00162CA7" w:rsidRPr="00064B75" w:rsidRDefault="00162CA7" w:rsidP="00150A86">
            <w:pPr>
              <w:rPr>
                <w:rFonts w:cs="Arial"/>
                <w:b/>
                <w:color w:val="000000"/>
                <w:sz w:val="18"/>
                <w:szCs w:val="18"/>
                <w:lang w:val="en-US"/>
              </w:rPr>
            </w:pPr>
            <w:r w:rsidRPr="00064B75">
              <w:rPr>
                <w:rFonts w:cs="Arial"/>
                <w:b/>
                <w:color w:val="000000"/>
                <w:sz w:val="18"/>
                <w:szCs w:val="18"/>
                <w:lang w:val="en-US"/>
              </w:rPr>
              <w:t>Date</w:t>
            </w:r>
          </w:p>
        </w:tc>
        <w:tc>
          <w:tcPr>
            <w:tcW w:w="7318" w:type="dxa"/>
            <w:gridSpan w:val="5"/>
            <w:tcBorders>
              <w:top w:val="nil"/>
              <w:left w:val="single" w:sz="2" w:space="0" w:color="808080" w:themeColor="background1" w:themeShade="80"/>
              <w:bottom w:val="nil"/>
              <w:right w:val="nil"/>
            </w:tcBorders>
            <w:shd w:val="clear" w:color="auto" w:fill="FFFFFF" w:themeFill="background1"/>
            <w:noWrap/>
            <w:vAlign w:val="center"/>
            <w:hideMark/>
          </w:tcPr>
          <w:p w:rsidR="00162CA7" w:rsidRPr="00064B75" w:rsidRDefault="00162CA7" w:rsidP="00150A86">
            <w:pPr>
              <w:ind w:left="175" w:hanging="199"/>
              <w:rPr>
                <w:rFonts w:cs="Arial"/>
                <w:b/>
                <w:bCs/>
                <w:color w:val="000000"/>
                <w:sz w:val="18"/>
                <w:szCs w:val="18"/>
                <w:lang w:val="en-US"/>
              </w:rPr>
            </w:pPr>
            <w:r w:rsidRPr="00064B75">
              <w:rPr>
                <w:rFonts w:cs="Arial"/>
                <w:color w:val="000000"/>
                <w:sz w:val="18"/>
                <w:szCs w:val="18"/>
                <w:lang w:val="en-US"/>
              </w:rPr>
              <w:t>►Dates for submission of  ECRML periodical report</w:t>
            </w:r>
          </w:p>
        </w:tc>
        <w:tc>
          <w:tcPr>
            <w:tcW w:w="1092" w:type="dxa"/>
            <w:tcBorders>
              <w:top w:val="nil"/>
              <w:left w:val="nil"/>
              <w:bottom w:val="nil"/>
              <w:right w:val="nil"/>
            </w:tcBorders>
            <w:vAlign w:val="center"/>
          </w:tcPr>
          <w:p w:rsidR="00162CA7" w:rsidRDefault="00162CA7" w:rsidP="00150A86">
            <w:pPr>
              <w:ind w:left="175" w:hanging="199"/>
              <w:jc w:val="center"/>
              <w:rPr>
                <w:rFonts w:ascii="Arial Narrow" w:hAnsi="Arial Narrow"/>
                <w:color w:val="000000"/>
                <w:sz w:val="18"/>
                <w:szCs w:val="18"/>
                <w:lang w:val="en-US"/>
              </w:rPr>
            </w:pPr>
          </w:p>
        </w:tc>
      </w:tr>
      <w:tr w:rsidR="00162CA7" w:rsidRPr="00A43278" w:rsidTr="00150A86">
        <w:trPr>
          <w:trHeight w:val="19"/>
        </w:trPr>
        <w:tc>
          <w:tcPr>
            <w:tcW w:w="2235" w:type="dxa"/>
            <w:gridSpan w:val="2"/>
            <w:tcBorders>
              <w:top w:val="nil"/>
              <w:left w:val="nil"/>
              <w:bottom w:val="nil"/>
              <w:right w:val="nil"/>
            </w:tcBorders>
            <w:vAlign w:val="center"/>
          </w:tcPr>
          <w:p w:rsidR="00162CA7" w:rsidRPr="00064B75" w:rsidRDefault="00162CA7" w:rsidP="00150A86">
            <w:pPr>
              <w:rPr>
                <w:rFonts w:cs="Arial"/>
                <w:color w:val="000000"/>
                <w:sz w:val="18"/>
                <w:szCs w:val="18"/>
              </w:rPr>
            </w:pPr>
          </w:p>
        </w:tc>
        <w:tc>
          <w:tcPr>
            <w:tcW w:w="7318" w:type="dxa"/>
            <w:gridSpan w:val="5"/>
            <w:tcBorders>
              <w:top w:val="nil"/>
              <w:left w:val="nil"/>
              <w:bottom w:val="nil"/>
              <w:right w:val="nil"/>
            </w:tcBorders>
            <w:shd w:val="clear" w:color="auto" w:fill="FFFFFF" w:themeFill="background1"/>
            <w:noWrap/>
            <w:vAlign w:val="center"/>
          </w:tcPr>
          <w:p w:rsidR="00162CA7" w:rsidRPr="00064B75" w:rsidRDefault="00162CA7" w:rsidP="00150A86">
            <w:pPr>
              <w:ind w:left="175" w:hanging="199"/>
              <w:rPr>
                <w:rFonts w:cs="Arial"/>
                <w:color w:val="000000"/>
                <w:sz w:val="18"/>
                <w:szCs w:val="18"/>
                <w:lang w:val="en-US"/>
              </w:rPr>
            </w:pPr>
          </w:p>
        </w:tc>
        <w:tc>
          <w:tcPr>
            <w:tcW w:w="1092" w:type="dxa"/>
            <w:tcBorders>
              <w:top w:val="nil"/>
              <w:left w:val="nil"/>
              <w:bottom w:val="nil"/>
              <w:right w:val="nil"/>
            </w:tcBorders>
            <w:vAlign w:val="center"/>
          </w:tcPr>
          <w:p w:rsidR="00162CA7" w:rsidRDefault="00162CA7" w:rsidP="00150A86">
            <w:pPr>
              <w:ind w:left="175" w:hanging="199"/>
              <w:jc w:val="center"/>
              <w:rPr>
                <w:rFonts w:ascii="Arial Narrow" w:hAnsi="Arial Narrow"/>
                <w:color w:val="000000"/>
                <w:sz w:val="10"/>
                <w:szCs w:val="10"/>
                <w:lang w:val="en-US"/>
              </w:rPr>
            </w:pPr>
          </w:p>
        </w:tc>
      </w:tr>
      <w:tr w:rsidR="00162CA7" w:rsidRPr="00A43278" w:rsidTr="00150A86">
        <w:trPr>
          <w:trHeight w:val="176"/>
        </w:trPr>
        <w:tc>
          <w:tcPr>
            <w:tcW w:w="675" w:type="dxa"/>
            <w:vMerge w:val="restart"/>
            <w:tcBorders>
              <w:top w:val="nil"/>
              <w:left w:val="nil"/>
              <w:bottom w:val="nil"/>
              <w:right w:val="triple" w:sz="4" w:space="0" w:color="auto"/>
            </w:tcBorders>
            <w:vAlign w:val="center"/>
          </w:tcPr>
          <w:p w:rsidR="00162CA7" w:rsidRPr="00064B75" w:rsidRDefault="00162CA7" w:rsidP="00150A86">
            <w:pPr>
              <w:rPr>
                <w:rFonts w:cs="Arial"/>
                <w:sz w:val="18"/>
                <w:szCs w:val="18"/>
              </w:rPr>
            </w:pPr>
          </w:p>
        </w:tc>
        <w:tc>
          <w:tcPr>
            <w:tcW w:w="1560" w:type="dxa"/>
            <w:tcBorders>
              <w:top w:val="triple" w:sz="4" w:space="0" w:color="auto"/>
              <w:left w:val="triple" w:sz="4" w:space="0" w:color="auto"/>
              <w:bottom w:val="triple" w:sz="4" w:space="0" w:color="auto"/>
              <w:right w:val="triple" w:sz="4" w:space="0" w:color="auto"/>
            </w:tcBorders>
            <w:shd w:val="clear" w:color="auto" w:fill="BFBFBF" w:themeFill="background1" w:themeFillShade="BF"/>
            <w:vAlign w:val="center"/>
            <w:hideMark/>
          </w:tcPr>
          <w:p w:rsidR="00162CA7" w:rsidRPr="00064B75" w:rsidRDefault="00162CA7" w:rsidP="00150A86">
            <w:pPr>
              <w:rPr>
                <w:rFonts w:cs="Arial"/>
                <w:b/>
                <w:sz w:val="18"/>
                <w:szCs w:val="18"/>
              </w:rPr>
            </w:pPr>
            <w:r w:rsidRPr="00064B75">
              <w:rPr>
                <w:rFonts w:cs="Arial"/>
                <w:b/>
                <w:sz w:val="18"/>
                <w:szCs w:val="18"/>
              </w:rPr>
              <w:t>Date</w:t>
            </w:r>
          </w:p>
        </w:tc>
        <w:tc>
          <w:tcPr>
            <w:tcW w:w="7318" w:type="dxa"/>
            <w:gridSpan w:val="5"/>
            <w:vMerge w:val="restart"/>
            <w:tcBorders>
              <w:top w:val="nil"/>
              <w:left w:val="triple" w:sz="4" w:space="0" w:color="auto"/>
              <w:bottom w:val="nil"/>
              <w:right w:val="nil"/>
            </w:tcBorders>
            <w:shd w:val="clear" w:color="auto" w:fill="FFFFFF" w:themeFill="background1"/>
            <w:noWrap/>
            <w:vAlign w:val="center"/>
            <w:hideMark/>
          </w:tcPr>
          <w:p w:rsidR="00162CA7" w:rsidRPr="00064B75" w:rsidRDefault="00162CA7" w:rsidP="00150A86">
            <w:pPr>
              <w:ind w:left="175" w:hanging="199"/>
              <w:rPr>
                <w:rFonts w:cs="Arial"/>
                <w:sz w:val="18"/>
                <w:szCs w:val="18"/>
                <w:lang w:val="en-US"/>
              </w:rPr>
            </w:pPr>
            <w:r w:rsidRPr="00064B75">
              <w:rPr>
                <w:rFonts w:cs="Arial"/>
                <w:sz w:val="18"/>
                <w:szCs w:val="18"/>
                <w:lang w:val="en-US"/>
              </w:rPr>
              <w:t>►Dates for submission of FCNM periodical report and of ECRML information on implementation of recommendations for immediate action</w:t>
            </w:r>
          </w:p>
        </w:tc>
        <w:tc>
          <w:tcPr>
            <w:tcW w:w="1092" w:type="dxa"/>
            <w:vMerge w:val="restart"/>
            <w:tcBorders>
              <w:top w:val="nil"/>
              <w:left w:val="nil"/>
              <w:bottom w:val="nil"/>
              <w:right w:val="nil"/>
            </w:tcBorders>
            <w:vAlign w:val="center"/>
          </w:tcPr>
          <w:p w:rsidR="00162CA7" w:rsidRDefault="00162CA7" w:rsidP="00150A86">
            <w:pPr>
              <w:ind w:left="175" w:hanging="199"/>
              <w:jc w:val="center"/>
              <w:rPr>
                <w:rFonts w:ascii="Arial Narrow" w:hAnsi="Arial Narrow"/>
                <w:color w:val="000000"/>
                <w:sz w:val="10"/>
                <w:szCs w:val="10"/>
                <w:lang w:val="en-US"/>
              </w:rPr>
            </w:pPr>
          </w:p>
        </w:tc>
      </w:tr>
      <w:tr w:rsidR="00162CA7" w:rsidRPr="00A43278" w:rsidTr="00150A86">
        <w:trPr>
          <w:trHeight w:val="175"/>
        </w:trPr>
        <w:tc>
          <w:tcPr>
            <w:tcW w:w="675" w:type="dxa"/>
            <w:vMerge/>
            <w:tcBorders>
              <w:top w:val="nil"/>
              <w:left w:val="nil"/>
              <w:bottom w:val="nil"/>
              <w:right w:val="triple" w:sz="4" w:space="0" w:color="auto"/>
            </w:tcBorders>
            <w:vAlign w:val="center"/>
            <w:hideMark/>
          </w:tcPr>
          <w:p w:rsidR="00162CA7" w:rsidRPr="00A555FC" w:rsidRDefault="00162CA7" w:rsidP="00150A86">
            <w:pPr>
              <w:rPr>
                <w:rFonts w:cs="Arial"/>
                <w:color w:val="000000"/>
                <w:szCs w:val="20"/>
              </w:rPr>
            </w:pPr>
          </w:p>
        </w:tc>
        <w:tc>
          <w:tcPr>
            <w:tcW w:w="1560" w:type="dxa"/>
            <w:tcBorders>
              <w:top w:val="nil"/>
              <w:left w:val="nil"/>
              <w:bottom w:val="nil"/>
              <w:right w:val="nil"/>
            </w:tcBorders>
            <w:shd w:val="clear" w:color="auto" w:fill="FFFFFF" w:themeFill="background1"/>
            <w:vAlign w:val="center"/>
          </w:tcPr>
          <w:p w:rsidR="00162CA7" w:rsidRPr="00064B75" w:rsidRDefault="00162CA7" w:rsidP="00150A86">
            <w:pPr>
              <w:jc w:val="center"/>
              <w:rPr>
                <w:rFonts w:cs="Arial"/>
                <w:b/>
                <w:color w:val="000000"/>
                <w:sz w:val="16"/>
                <w:szCs w:val="16"/>
                <w:highlight w:val="yellow"/>
              </w:rPr>
            </w:pPr>
          </w:p>
        </w:tc>
        <w:tc>
          <w:tcPr>
            <w:tcW w:w="7318" w:type="dxa"/>
            <w:gridSpan w:val="5"/>
            <w:vMerge/>
            <w:tcBorders>
              <w:top w:val="nil"/>
              <w:left w:val="nil"/>
              <w:bottom w:val="nil"/>
              <w:right w:val="nil"/>
            </w:tcBorders>
            <w:vAlign w:val="center"/>
            <w:hideMark/>
          </w:tcPr>
          <w:p w:rsidR="00162CA7" w:rsidRPr="00064B75" w:rsidRDefault="00162CA7" w:rsidP="00150A86">
            <w:pPr>
              <w:rPr>
                <w:rFonts w:cs="Arial"/>
                <w:color w:val="000000"/>
                <w:sz w:val="16"/>
                <w:szCs w:val="16"/>
                <w:highlight w:val="yellow"/>
                <w:lang w:val="en-US"/>
              </w:rPr>
            </w:pPr>
          </w:p>
        </w:tc>
        <w:tc>
          <w:tcPr>
            <w:tcW w:w="1092" w:type="dxa"/>
            <w:vMerge/>
            <w:tcBorders>
              <w:top w:val="nil"/>
              <w:left w:val="nil"/>
              <w:bottom w:val="nil"/>
              <w:right w:val="nil"/>
            </w:tcBorders>
            <w:vAlign w:val="center"/>
            <w:hideMark/>
          </w:tcPr>
          <w:p w:rsidR="00162CA7" w:rsidRDefault="00162CA7" w:rsidP="00150A86">
            <w:pPr>
              <w:rPr>
                <w:rFonts w:ascii="Arial Narrow" w:hAnsi="Arial Narrow"/>
                <w:color w:val="000000"/>
                <w:sz w:val="10"/>
                <w:szCs w:val="10"/>
                <w:lang w:val="en-US"/>
              </w:rPr>
            </w:pPr>
          </w:p>
        </w:tc>
      </w:tr>
      <w:tr w:rsidR="00162CA7" w:rsidRPr="00064B75" w:rsidTr="00150A86">
        <w:trPr>
          <w:trHeight w:val="19"/>
        </w:trPr>
        <w:tc>
          <w:tcPr>
            <w:tcW w:w="2235" w:type="dxa"/>
            <w:gridSpan w:val="2"/>
            <w:tcBorders>
              <w:top w:val="nil"/>
              <w:left w:val="nil"/>
              <w:bottom w:val="nil"/>
              <w:right w:val="nil"/>
            </w:tcBorders>
            <w:vAlign w:val="center"/>
          </w:tcPr>
          <w:p w:rsidR="00162CA7" w:rsidRPr="00064B75" w:rsidRDefault="00162CA7" w:rsidP="00150A86">
            <w:pPr>
              <w:rPr>
                <w:rFonts w:cs="Arial"/>
                <w:b/>
                <w:color w:val="000000"/>
                <w:sz w:val="8"/>
                <w:szCs w:val="8"/>
              </w:rPr>
            </w:pPr>
          </w:p>
        </w:tc>
        <w:tc>
          <w:tcPr>
            <w:tcW w:w="7318" w:type="dxa"/>
            <w:gridSpan w:val="5"/>
            <w:tcBorders>
              <w:top w:val="nil"/>
              <w:left w:val="nil"/>
              <w:bottom w:val="nil"/>
              <w:right w:val="nil"/>
            </w:tcBorders>
            <w:shd w:val="clear" w:color="auto" w:fill="FFFFFF" w:themeFill="background1"/>
            <w:noWrap/>
            <w:vAlign w:val="center"/>
          </w:tcPr>
          <w:p w:rsidR="00162CA7" w:rsidRPr="00064B75" w:rsidRDefault="00162CA7" w:rsidP="00150A86">
            <w:pPr>
              <w:ind w:left="175" w:hanging="199"/>
              <w:rPr>
                <w:rFonts w:cs="Arial"/>
                <w:color w:val="000000"/>
                <w:sz w:val="8"/>
                <w:szCs w:val="8"/>
                <w:lang w:val="en-US"/>
              </w:rPr>
            </w:pPr>
          </w:p>
        </w:tc>
        <w:tc>
          <w:tcPr>
            <w:tcW w:w="1092" w:type="dxa"/>
            <w:tcBorders>
              <w:top w:val="nil"/>
              <w:left w:val="nil"/>
              <w:bottom w:val="nil"/>
              <w:right w:val="nil"/>
            </w:tcBorders>
            <w:vAlign w:val="center"/>
          </w:tcPr>
          <w:p w:rsidR="00162CA7" w:rsidRPr="00064B75" w:rsidRDefault="00162CA7" w:rsidP="00150A86">
            <w:pPr>
              <w:ind w:left="175" w:hanging="199"/>
              <w:jc w:val="center"/>
              <w:rPr>
                <w:rFonts w:ascii="Arial Narrow" w:hAnsi="Arial Narrow"/>
                <w:color w:val="000000"/>
                <w:sz w:val="8"/>
                <w:szCs w:val="8"/>
                <w:lang w:val="en-US"/>
              </w:rPr>
            </w:pPr>
          </w:p>
        </w:tc>
      </w:tr>
      <w:tr w:rsidR="00162CA7" w:rsidRPr="00A43278" w:rsidTr="00150A86">
        <w:trPr>
          <w:trHeight w:val="419"/>
        </w:trPr>
        <w:tc>
          <w:tcPr>
            <w:tcW w:w="9553" w:type="dxa"/>
            <w:gridSpan w:val="7"/>
            <w:tcBorders>
              <w:top w:val="nil"/>
              <w:left w:val="nil"/>
              <w:bottom w:val="nil"/>
              <w:right w:val="nil"/>
            </w:tcBorders>
            <w:vAlign w:val="center"/>
            <w:hideMark/>
          </w:tcPr>
          <w:p w:rsidR="00162CA7" w:rsidRPr="00064B75" w:rsidRDefault="00162CA7" w:rsidP="00150A86">
            <w:pPr>
              <w:ind w:left="140" w:hanging="126"/>
              <w:jc w:val="both"/>
              <w:rPr>
                <w:rFonts w:cs="Arial"/>
                <w:color w:val="000000"/>
                <w:sz w:val="16"/>
                <w:szCs w:val="16"/>
                <w:lang w:val="en-US"/>
              </w:rPr>
            </w:pPr>
            <w:r w:rsidRPr="00064B75">
              <w:rPr>
                <w:rFonts w:cs="Arial"/>
                <w:color w:val="808080" w:themeColor="background1" w:themeShade="80"/>
                <w:sz w:val="16"/>
                <w:szCs w:val="16"/>
                <w:lang w:val="en-US"/>
              </w:rPr>
              <w:t xml:space="preserve">* </w:t>
            </w:r>
            <w:r w:rsidRPr="00064B75">
              <w:rPr>
                <w:rFonts w:cs="Arial"/>
                <w:sz w:val="16"/>
                <w:szCs w:val="16"/>
                <w:lang w:val="en-US"/>
              </w:rPr>
              <w:t>This date replaces the date for submission of the Language Charter periodical report provided such a report was submitted in 2017, 2018 or first half of 2019. Otherwise, a periodical report should be submitted by this date.</w:t>
            </w:r>
          </w:p>
        </w:tc>
        <w:tc>
          <w:tcPr>
            <w:tcW w:w="1092" w:type="dxa"/>
            <w:tcBorders>
              <w:top w:val="nil"/>
              <w:left w:val="nil"/>
              <w:bottom w:val="nil"/>
              <w:right w:val="nil"/>
            </w:tcBorders>
            <w:vAlign w:val="center"/>
          </w:tcPr>
          <w:p w:rsidR="00162CA7" w:rsidRDefault="00162CA7" w:rsidP="00150A86">
            <w:pPr>
              <w:ind w:left="140" w:hanging="126"/>
              <w:jc w:val="center"/>
              <w:rPr>
                <w:rFonts w:ascii="Arial Narrow" w:hAnsi="Arial Narrow"/>
                <w:color w:val="808080" w:themeColor="background1" w:themeShade="80"/>
                <w:sz w:val="22"/>
                <w:lang w:val="en-US"/>
              </w:rPr>
            </w:pPr>
          </w:p>
        </w:tc>
      </w:tr>
    </w:tbl>
    <w:p w:rsidR="00162CA7" w:rsidRDefault="00162CA7" w:rsidP="00162CA7">
      <w:pPr>
        <w:jc w:val="both"/>
        <w:rPr>
          <w:rFonts w:ascii="Arial Narrow" w:eastAsiaTheme="minorHAnsi" w:hAnsi="Arial Narrow" w:cstheme="minorBidi"/>
          <w:b/>
          <w:color w:val="000000" w:themeColor="text1"/>
          <w:sz w:val="16"/>
          <w:szCs w:val="16"/>
        </w:rPr>
      </w:pPr>
    </w:p>
    <w:p w:rsidR="00556F19" w:rsidRPr="00556F19" w:rsidRDefault="00556F19" w:rsidP="00162CA7">
      <w:pPr>
        <w:jc w:val="center"/>
        <w:rPr>
          <w:rFonts w:eastAsia="Times New Roman"/>
          <w:szCs w:val="24"/>
        </w:rPr>
      </w:pPr>
    </w:p>
    <w:sectPr w:rsidR="00556F19" w:rsidRPr="00556F19" w:rsidSect="006E7255">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1B4" w:rsidRDefault="00B971B4" w:rsidP="00FD6043">
      <w:r>
        <w:separator/>
      </w:r>
    </w:p>
  </w:endnote>
  <w:endnote w:type="continuationSeparator" w:id="0">
    <w:p w:rsidR="00B971B4" w:rsidRDefault="00B971B4"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1B4" w:rsidRDefault="00B971B4" w:rsidP="00FD6043">
      <w:r>
        <w:separator/>
      </w:r>
    </w:p>
  </w:footnote>
  <w:footnote w:type="continuationSeparator" w:id="0">
    <w:p w:rsidR="00B971B4" w:rsidRDefault="00B971B4" w:rsidP="00FD6043">
      <w:r>
        <w:continuationSeparator/>
      </w:r>
    </w:p>
  </w:footnote>
  <w:footnote w:id="1">
    <w:p w:rsidR="001D7AFE" w:rsidRPr="00A43278" w:rsidRDefault="001D7AFE" w:rsidP="001D7AFE">
      <w:pPr>
        <w:pStyle w:val="FootnoteText"/>
        <w:rPr>
          <w:szCs w:val="16"/>
          <w:lang w:val="en-US"/>
        </w:rPr>
      </w:pPr>
      <w:r w:rsidRPr="00A43278">
        <w:rPr>
          <w:rStyle w:val="FootnoteReference"/>
          <w:szCs w:val="16"/>
        </w:rPr>
        <w:footnoteRef/>
      </w:r>
      <w:r w:rsidRPr="00A43278">
        <w:rPr>
          <w:szCs w:val="16"/>
          <w:lang w:val="en-US"/>
        </w:rPr>
        <w:t xml:space="preserve"> </w:t>
      </w:r>
      <w:r w:rsidRPr="00A43278">
        <w:rPr>
          <w:rFonts w:cs="Arial"/>
          <w:szCs w:val="16"/>
          <w:lang w:val="en-US"/>
        </w:rPr>
        <w:t>In conformity with the Committee of Ministers’ decision of 30 January 2008.</w:t>
      </w:r>
    </w:p>
  </w:footnote>
  <w:footnote w:id="2">
    <w:p w:rsidR="001D7AFE" w:rsidRPr="00A43278" w:rsidRDefault="001D7AFE" w:rsidP="001D7AFE">
      <w:pPr>
        <w:pStyle w:val="FootnoteText"/>
        <w:rPr>
          <w:szCs w:val="16"/>
        </w:rPr>
      </w:pPr>
      <w:r w:rsidRPr="00A43278">
        <w:rPr>
          <w:rStyle w:val="FootnoteReference"/>
          <w:szCs w:val="16"/>
        </w:rPr>
        <w:footnoteRef/>
      </w:r>
      <w:r w:rsidRPr="00A43278">
        <w:rPr>
          <w:rFonts w:cs="Arial"/>
          <w:szCs w:val="16"/>
        </w:rPr>
        <w:t xml:space="preserve"> See </w:t>
      </w:r>
      <w:bookmarkStart w:id="2" w:name="_ML_000000000003_VALID"/>
      <w:r w:rsidR="00757EAC" w:rsidRPr="00757EAC">
        <w:rPr>
          <w:rFonts w:cs="Arial"/>
          <w:bCs/>
          <w:szCs w:val="16"/>
        </w:rPr>
        <w:fldChar w:fldCharType="begin"/>
      </w:r>
      <w:r w:rsidR="00757EAC" w:rsidRPr="00757EAC">
        <w:rPr>
          <w:rFonts w:cs="Arial"/>
          <w:bCs/>
          <w:szCs w:val="16"/>
        </w:rPr>
        <w:instrText xml:space="preserve"> HYPERLINK "https://search.coe.int/cm/Pages/result_details.aspx?Reference=CM/Del/Dec(2008)1016/10.4" \o "European Charter for Regional or Minority Languages – Failure to comply with the reporting obligation" </w:instrText>
      </w:r>
      <w:r w:rsidR="00757EAC" w:rsidRPr="00757EAC">
        <w:rPr>
          <w:rFonts w:cs="Arial"/>
          <w:bCs/>
          <w:szCs w:val="16"/>
        </w:rPr>
        <w:fldChar w:fldCharType="separate"/>
      </w:r>
      <w:bookmarkEnd w:id="2"/>
      <w:r w:rsidR="00757EAC" w:rsidRPr="00757EAC">
        <w:rPr>
          <w:rStyle w:val="Hyperlink"/>
          <w:rFonts w:cs="Arial"/>
          <w:bCs/>
          <w:szCs w:val="16"/>
        </w:rPr>
        <w:t>CM/Del/Dec(2008)1016/10.4</w:t>
      </w:r>
      <w:r w:rsidR="00757EAC" w:rsidRPr="00757EAC">
        <w:rPr>
          <w:rFonts w:cs="Arial"/>
          <w:bCs/>
          <w:szCs w:val="16"/>
        </w:rPr>
        <w:fldChar w:fldCharType="end"/>
      </w:r>
      <w:r w:rsidRPr="00D35609">
        <w:rPr>
          <w:rFonts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7" w:rsidRPr="00E54322" w:rsidRDefault="002660DB" w:rsidP="00E54322">
    <w:pPr>
      <w:pStyle w:val="Header"/>
    </w:pPr>
    <w:r w:rsidRPr="00E54322">
      <w:t>CM</w:t>
    </w:r>
    <w:r w:rsidR="00556F19">
      <w:t>/Del/Dec</w:t>
    </w:r>
    <w:r w:rsidRPr="00E54322">
      <w:t>(201</w:t>
    </w:r>
    <w:r w:rsidR="001D7AFE">
      <w:t>8</w:t>
    </w:r>
    <w:r w:rsidRPr="00E54322">
      <w:t>)</w:t>
    </w:r>
    <w:r w:rsidR="001D7AFE">
      <w:t>1330/10.4e</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725279">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725279">
      <w:rPr>
        <w:noProof/>
      </w:rPr>
      <w:t>3</w:t>
    </w:r>
    <w:r w:rsidRPr="00E54322">
      <w:fldChar w:fldCharType="end"/>
    </w:r>
    <w:r w:rsidR="00E475F9" w:rsidRPr="00E54322">
      <w:tab/>
    </w:r>
    <w:r w:rsidR="00556F19" w:rsidRPr="00E54322">
      <w:t>CM</w:t>
    </w:r>
    <w:r w:rsidR="00556F19">
      <w:t>/Del/Dec</w:t>
    </w:r>
    <w:r w:rsidR="00556F19" w:rsidRPr="00E54322">
      <w:t>(201</w:t>
    </w:r>
    <w:r w:rsidR="001D7AFE">
      <w:t>8</w:t>
    </w:r>
    <w:r w:rsidR="00556F19" w:rsidRPr="00E54322">
      <w:t>)</w:t>
    </w:r>
    <w:r w:rsidR="001D7AFE">
      <w:t>1330/10.4e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DB" w:rsidRDefault="00877E5C" w:rsidP="00123CDD">
    <w:pPr>
      <w:pStyle w:val="Header"/>
      <w:spacing w:after="2280"/>
    </w:pPr>
    <w:r>
      <w:rPr>
        <w:noProof/>
        <w:lang w:val="en-US"/>
      </w:rPr>
      <w:drawing>
        <wp:anchor distT="0" distB="0" distL="114300" distR="114300" simplePos="0" relativeHeight="251657728" behindDoc="1" locked="0" layoutInCell="0" allowOverlap="0" wp14:anchorId="150CAA24" wp14:editId="21E7D41D">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658AE"/>
    <w:multiLevelType w:val="hybridMultilevel"/>
    <w:tmpl w:val="470AAB90"/>
    <w:lvl w:ilvl="0" w:tplc="A54E29E2">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B4"/>
    <w:rsid w:val="0001238D"/>
    <w:rsid w:val="00035FDF"/>
    <w:rsid w:val="00070D16"/>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62CA7"/>
    <w:rsid w:val="00171115"/>
    <w:rsid w:val="00181ED9"/>
    <w:rsid w:val="001A6076"/>
    <w:rsid w:val="001B7E0B"/>
    <w:rsid w:val="001D7AFE"/>
    <w:rsid w:val="001E7C29"/>
    <w:rsid w:val="001F27D1"/>
    <w:rsid w:val="001F297D"/>
    <w:rsid w:val="001F4F04"/>
    <w:rsid w:val="00214299"/>
    <w:rsid w:val="002250DD"/>
    <w:rsid w:val="0023437D"/>
    <w:rsid w:val="00242ABB"/>
    <w:rsid w:val="00244AF0"/>
    <w:rsid w:val="00251353"/>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6BB7"/>
    <w:rsid w:val="00303712"/>
    <w:rsid w:val="00334BF6"/>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1342E"/>
    <w:rsid w:val="00524187"/>
    <w:rsid w:val="0054041B"/>
    <w:rsid w:val="00550B6C"/>
    <w:rsid w:val="00556F19"/>
    <w:rsid w:val="00571CF3"/>
    <w:rsid w:val="00574663"/>
    <w:rsid w:val="005B1FA1"/>
    <w:rsid w:val="005B3604"/>
    <w:rsid w:val="005C73BB"/>
    <w:rsid w:val="005D7CDF"/>
    <w:rsid w:val="005F093B"/>
    <w:rsid w:val="005F3DC6"/>
    <w:rsid w:val="00614982"/>
    <w:rsid w:val="00631491"/>
    <w:rsid w:val="00643231"/>
    <w:rsid w:val="00643C3F"/>
    <w:rsid w:val="00644AD3"/>
    <w:rsid w:val="006455FA"/>
    <w:rsid w:val="00660638"/>
    <w:rsid w:val="00671684"/>
    <w:rsid w:val="00671EA2"/>
    <w:rsid w:val="006827E4"/>
    <w:rsid w:val="006908C5"/>
    <w:rsid w:val="006E7255"/>
    <w:rsid w:val="006F0318"/>
    <w:rsid w:val="006F6B48"/>
    <w:rsid w:val="00712E65"/>
    <w:rsid w:val="007150DE"/>
    <w:rsid w:val="00721866"/>
    <w:rsid w:val="00725279"/>
    <w:rsid w:val="00735569"/>
    <w:rsid w:val="007541C7"/>
    <w:rsid w:val="00757EAC"/>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916BF5"/>
    <w:rsid w:val="00917F96"/>
    <w:rsid w:val="009215B8"/>
    <w:rsid w:val="00923554"/>
    <w:rsid w:val="009270C4"/>
    <w:rsid w:val="00940F14"/>
    <w:rsid w:val="009432D0"/>
    <w:rsid w:val="00950D67"/>
    <w:rsid w:val="009527D7"/>
    <w:rsid w:val="00955512"/>
    <w:rsid w:val="00963962"/>
    <w:rsid w:val="00971395"/>
    <w:rsid w:val="00974C41"/>
    <w:rsid w:val="0099367C"/>
    <w:rsid w:val="009B31B9"/>
    <w:rsid w:val="009B3AB7"/>
    <w:rsid w:val="009C5258"/>
    <w:rsid w:val="009D28F3"/>
    <w:rsid w:val="009D6798"/>
    <w:rsid w:val="00A01A4F"/>
    <w:rsid w:val="00A12DEC"/>
    <w:rsid w:val="00A22D53"/>
    <w:rsid w:val="00A474E5"/>
    <w:rsid w:val="00A8016B"/>
    <w:rsid w:val="00A842D4"/>
    <w:rsid w:val="00A93CA3"/>
    <w:rsid w:val="00AB5433"/>
    <w:rsid w:val="00AB6552"/>
    <w:rsid w:val="00AB67F8"/>
    <w:rsid w:val="00AB7727"/>
    <w:rsid w:val="00AC73AA"/>
    <w:rsid w:val="00AE76B8"/>
    <w:rsid w:val="00AF05E8"/>
    <w:rsid w:val="00B003CD"/>
    <w:rsid w:val="00B06133"/>
    <w:rsid w:val="00B129D8"/>
    <w:rsid w:val="00B227AE"/>
    <w:rsid w:val="00B32AEA"/>
    <w:rsid w:val="00B41B03"/>
    <w:rsid w:val="00B41EC3"/>
    <w:rsid w:val="00B63F08"/>
    <w:rsid w:val="00B72A28"/>
    <w:rsid w:val="00B81BAC"/>
    <w:rsid w:val="00B849E0"/>
    <w:rsid w:val="00B90246"/>
    <w:rsid w:val="00B920E4"/>
    <w:rsid w:val="00B971B4"/>
    <w:rsid w:val="00BA79A3"/>
    <w:rsid w:val="00BB7DCE"/>
    <w:rsid w:val="00BD25C0"/>
    <w:rsid w:val="00C049EE"/>
    <w:rsid w:val="00C109FD"/>
    <w:rsid w:val="00C14C2C"/>
    <w:rsid w:val="00C409C2"/>
    <w:rsid w:val="00C74E6F"/>
    <w:rsid w:val="00C8348A"/>
    <w:rsid w:val="00C92F89"/>
    <w:rsid w:val="00CC39DC"/>
    <w:rsid w:val="00CE1FF8"/>
    <w:rsid w:val="00CE4890"/>
    <w:rsid w:val="00CE6FD2"/>
    <w:rsid w:val="00D0182E"/>
    <w:rsid w:val="00D0265B"/>
    <w:rsid w:val="00D24A57"/>
    <w:rsid w:val="00D53526"/>
    <w:rsid w:val="00D554E6"/>
    <w:rsid w:val="00D70628"/>
    <w:rsid w:val="00D95E69"/>
    <w:rsid w:val="00DA7643"/>
    <w:rsid w:val="00DB029C"/>
    <w:rsid w:val="00DC162E"/>
    <w:rsid w:val="00DC4A39"/>
    <w:rsid w:val="00DE0A21"/>
    <w:rsid w:val="00DF4D4D"/>
    <w:rsid w:val="00DF6796"/>
    <w:rsid w:val="00E125C6"/>
    <w:rsid w:val="00E15639"/>
    <w:rsid w:val="00E173B5"/>
    <w:rsid w:val="00E24C57"/>
    <w:rsid w:val="00E457C3"/>
    <w:rsid w:val="00E475F9"/>
    <w:rsid w:val="00E50974"/>
    <w:rsid w:val="00E54322"/>
    <w:rsid w:val="00E86611"/>
    <w:rsid w:val="00E92773"/>
    <w:rsid w:val="00E940BF"/>
    <w:rsid w:val="00EA643A"/>
    <w:rsid w:val="00EE34E3"/>
    <w:rsid w:val="00F01885"/>
    <w:rsid w:val="00F168A4"/>
    <w:rsid w:val="00F2380B"/>
    <w:rsid w:val="00F24713"/>
    <w:rsid w:val="00F40699"/>
    <w:rsid w:val="00F433D6"/>
    <w:rsid w:val="00F61D34"/>
    <w:rsid w:val="00F76BBD"/>
    <w:rsid w:val="00F96689"/>
    <w:rsid w:val="00FC446A"/>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4B7B560-87F3-4B56-A987-5BC49F06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1,Footnote Text Char Char,Footnote Text Char1 Char Char,Footnote Text Char Char Char Char,Footnote Text Char2 Char Char Char Char Char,Footnote Text Char1 Char Char Char Char Char Char,n,Footnote Text Char Char1"/>
    <w:basedOn w:val="Normal"/>
    <w:link w:val="FootnoteTextChar"/>
    <w:unhideWhenUsed/>
    <w:qFormat/>
    <w:rsid w:val="009C5258"/>
    <w:rPr>
      <w:sz w:val="16"/>
      <w:szCs w:val="20"/>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 Char,Footnote Text Char1 Char Char Char Char Char Char Char"/>
    <w:link w:val="FootnoteText"/>
    <w:rsid w:val="009C5258"/>
    <w:rPr>
      <w:rFonts w:ascii="Arial" w:hAnsi="Arial"/>
      <w:sz w:val="16"/>
      <w:lang w:val="fr-FR" w:eastAsia="en-US"/>
    </w:rPr>
  </w:style>
  <w:style w:type="character" w:styleId="FootnoteReference">
    <w:name w:val="footnote reference"/>
    <w:aliases w:val="Footnote Reference Char Car Char Char Car Char Car Char Car Char Car Char Char Car Car Char Char Char Char Char Car Char Car Char Char Car Char Car Char Car Char Car Char Car Char Char Car Car Char Char Char Char Char Char,4_G"/>
    <w:link w:val="FootnoteReferenceCharCarCharCharCarCharCarCharCarCharCarCharCharCarCarCharCharCharCharCharCarCharCarCharCharCarCharCarCharCarCharCarCharCarCharCharCarCarCharCharCharChar"/>
    <w:uiPriority w:val="99"/>
    <w:unhideWhenUsed/>
    <w:rsid w:val="00853C90"/>
    <w:rPr>
      <w:vertAlign w:val="superscript"/>
    </w:rPr>
  </w:style>
  <w:style w:type="paragraph" w:customStyle="1" w:styleId="FootnoteReferenceCharCarCharCharCarCharCarCharCarCharCarCharCharCarCarCharCharCharCharCharCarCharCarCharCharCarCharCarCharCarCharCarCharCarCharCharCarCarCharCharCharChar">
    <w:name w:val="Footnote Reference Char Car Char Char Car Char Car Char Car Char Car Char Char Car Car Char Char Char Char Char Car Char Car Char Char Car Char Car Char Car Char Car Char Car Char Char Car Car Char Char Char Char"/>
    <w:basedOn w:val="Normal"/>
    <w:link w:val="FootnoteReference"/>
    <w:uiPriority w:val="99"/>
    <w:rsid w:val="001D7AFE"/>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M%20General%20documents\E_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3DE333-7F0F-4F33-A6BA-860789BF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E_Decision</Template>
  <TotalTime>1</TotalTime>
  <Pages>3</Pages>
  <Words>1048</Words>
  <Characters>5974</Characters>
  <Application>Microsoft Office Word</Application>
  <DocSecurity>4</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7008</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 Regine</dc:creator>
  <cp:lastModifiedBy>Oinonen Krista</cp:lastModifiedBy>
  <cp:revision>2</cp:revision>
  <cp:lastPrinted>2016-03-16T18:37:00Z</cp:lastPrinted>
  <dcterms:created xsi:type="dcterms:W3CDTF">2018-12-27T12:42:00Z</dcterms:created>
  <dcterms:modified xsi:type="dcterms:W3CDTF">2018-12-27T12:42:00Z</dcterms:modified>
</cp:coreProperties>
</file>