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07D2B" w14:textId="77777777" w:rsidR="00566F2C" w:rsidRPr="0075409D" w:rsidRDefault="0075409D" w:rsidP="0075409D">
      <w:pPr>
        <w:pStyle w:val="Luettelokappale"/>
        <w:ind w:left="0" w:right="254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18.9.2017</w:t>
      </w:r>
    </w:p>
    <w:p w14:paraId="25AEA8D9" w14:textId="77777777" w:rsidR="00566F2C" w:rsidRPr="00512F34" w:rsidRDefault="00566F2C" w:rsidP="00CA540C">
      <w:pPr>
        <w:spacing w:line="240" w:lineRule="auto"/>
        <w:ind w:right="255"/>
        <w:jc w:val="center"/>
        <w:rPr>
          <w:rFonts w:cs="Arial"/>
          <w:b/>
          <w:sz w:val="24"/>
          <w:szCs w:val="24"/>
        </w:rPr>
      </w:pPr>
      <w:r w:rsidRPr="00512F34">
        <w:rPr>
          <w:rFonts w:cs="Arial"/>
          <w:b/>
          <w:sz w:val="24"/>
          <w:szCs w:val="24"/>
        </w:rPr>
        <w:t>Ihmisoikeusvaltuuskunnan työpaja 1</w:t>
      </w:r>
    </w:p>
    <w:p w14:paraId="5583C9A1" w14:textId="77777777" w:rsidR="007647A6" w:rsidRDefault="00566F2C" w:rsidP="00CA540C">
      <w:pPr>
        <w:spacing w:line="240" w:lineRule="auto"/>
        <w:ind w:right="255"/>
        <w:jc w:val="center"/>
        <w:rPr>
          <w:rFonts w:cs="Arial"/>
          <w:b/>
          <w:sz w:val="24"/>
          <w:szCs w:val="24"/>
        </w:rPr>
      </w:pPr>
      <w:r w:rsidRPr="00512F34">
        <w:rPr>
          <w:rFonts w:cs="Arial"/>
          <w:b/>
          <w:sz w:val="24"/>
          <w:szCs w:val="24"/>
        </w:rPr>
        <w:t>Haavoittuvassa asemassa olevien turvapaikanhakijoiden oike</w:t>
      </w:r>
      <w:r w:rsidR="007647A6">
        <w:rPr>
          <w:rFonts w:cs="Arial"/>
          <w:b/>
          <w:sz w:val="24"/>
          <w:szCs w:val="24"/>
        </w:rPr>
        <w:t xml:space="preserve">usavun toteutuminen </w:t>
      </w:r>
    </w:p>
    <w:p w14:paraId="5699D508" w14:textId="3BBD3A63" w:rsidR="00DA7715" w:rsidRDefault="00B449A7" w:rsidP="00CA540C">
      <w:pPr>
        <w:spacing w:line="240" w:lineRule="auto"/>
        <w:ind w:right="255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– k</w:t>
      </w:r>
      <w:r w:rsidR="007647A6">
        <w:rPr>
          <w:rFonts w:cs="Arial"/>
          <w:b/>
          <w:sz w:val="24"/>
          <w:szCs w:val="24"/>
        </w:rPr>
        <w:t xml:space="preserve">ooste </w:t>
      </w:r>
      <w:r w:rsidR="00AB1E63">
        <w:rPr>
          <w:rFonts w:cs="Arial"/>
          <w:b/>
          <w:sz w:val="24"/>
          <w:szCs w:val="24"/>
        </w:rPr>
        <w:t>asiantuntijoiden</w:t>
      </w:r>
      <w:r w:rsidR="007647A6">
        <w:rPr>
          <w:rFonts w:cs="Arial"/>
          <w:b/>
          <w:sz w:val="24"/>
          <w:szCs w:val="24"/>
        </w:rPr>
        <w:t xml:space="preserve"> havainnoista </w:t>
      </w:r>
    </w:p>
    <w:p w14:paraId="1AEC6079" w14:textId="29314F21" w:rsidR="00887235" w:rsidRDefault="00887235" w:rsidP="00D0495E">
      <w:pPr>
        <w:spacing w:after="120" w:line="240" w:lineRule="auto"/>
        <w:rPr>
          <w:rFonts w:cs="Arial"/>
          <w:b/>
        </w:rPr>
      </w:pPr>
    </w:p>
    <w:p w14:paraId="30A187E7" w14:textId="77777777" w:rsidR="00C05093" w:rsidRPr="00DA7715" w:rsidRDefault="00C05093" w:rsidP="00C05093">
      <w:pPr>
        <w:spacing w:after="120" w:line="240" w:lineRule="auto"/>
        <w:rPr>
          <w:rFonts w:cs="Arial"/>
          <w:b/>
        </w:rPr>
      </w:pPr>
      <w:r w:rsidRPr="00DA7715">
        <w:rPr>
          <w:rFonts w:cs="Arial"/>
          <w:b/>
        </w:rPr>
        <w:t xml:space="preserve">HAAVOITTUVASSA ASEMASSA OLEVIEN TURVAPAIKANHAKIJOIDEN TUNNISTAMINEN </w:t>
      </w:r>
    </w:p>
    <w:p w14:paraId="3FE7702D" w14:textId="77777777" w:rsidR="00C05093" w:rsidRPr="00DA7715" w:rsidRDefault="00C05093" w:rsidP="00C05093">
      <w:pPr>
        <w:spacing w:after="120" w:line="240" w:lineRule="auto"/>
        <w:rPr>
          <w:rFonts w:cs="Arial"/>
          <w:i/>
        </w:rPr>
      </w:pPr>
      <w:r>
        <w:rPr>
          <w:rFonts w:cs="Arial"/>
          <w:i/>
        </w:rPr>
        <w:t>Heli Kumpula</w:t>
      </w:r>
      <w:r w:rsidRPr="00DA7715">
        <w:rPr>
          <w:rFonts w:cs="Arial"/>
          <w:i/>
        </w:rPr>
        <w:t xml:space="preserve">, Maahanmuuttovirasto (Migri) </w:t>
      </w:r>
    </w:p>
    <w:p w14:paraId="2CC73E39" w14:textId="77777777" w:rsidR="00C05093" w:rsidRPr="00DA7715" w:rsidRDefault="00C05093" w:rsidP="00C05093">
      <w:pPr>
        <w:spacing w:after="120" w:line="240" w:lineRule="auto"/>
        <w:rPr>
          <w:rFonts w:cs="Arial"/>
          <w:b/>
        </w:rPr>
      </w:pPr>
      <w:r w:rsidRPr="00DA7715">
        <w:rPr>
          <w:rFonts w:cs="Arial"/>
          <w:b/>
        </w:rPr>
        <w:t>Hakijoiden tunnistaminen</w:t>
      </w:r>
    </w:p>
    <w:p w14:paraId="72AADC4F" w14:textId="77777777" w:rsidR="00C05093" w:rsidRDefault="00C05093" w:rsidP="00C05093">
      <w:pPr>
        <w:spacing w:after="0" w:line="240" w:lineRule="auto"/>
        <w:rPr>
          <w:bCs/>
          <w:color w:val="FF0000"/>
        </w:rPr>
      </w:pPr>
      <w:r w:rsidRPr="000A0595">
        <w:rPr>
          <w:rFonts w:cs="Arial"/>
        </w:rPr>
        <w:t xml:space="preserve">Haavoittuvassa asemassa olevien turvapaikanhakijoiden tunnistaminen tapahtuu vastaanottokeskuksissa alkuinformaation ja terveystarkastusten yhteydessä sekä sosiaalityön kautta. </w:t>
      </w:r>
      <w:r w:rsidRPr="000A0595">
        <w:rPr>
          <w:bCs/>
        </w:rPr>
        <w:t>Maahanmuuttoviraston vastaanottoyksikön arvion</w:t>
      </w:r>
      <w:r w:rsidRPr="000A0595">
        <w:t xml:space="preserve"> mukaan tunnistaminen vastaanottokeskuksissa on toiminut hyvin, tunnistaminen keskittyy terveydellisiin oireisiin, vointiin ja tuen tarpeeseen. </w:t>
      </w:r>
      <w:r w:rsidRPr="000A0595">
        <w:rPr>
          <w:rFonts w:cs="Arial"/>
        </w:rPr>
        <w:t xml:space="preserve">Haavoittuvassa </w:t>
      </w:r>
      <w:r w:rsidRPr="00072139">
        <w:rPr>
          <w:rFonts w:cs="Arial"/>
        </w:rPr>
        <w:t xml:space="preserve">asemassa olevia turvapaikanhakijoita tunnistetaan myös turvapaikkapuhutteluissa. Käytössä on kahden puhuttelun malli. Ensimmäisessä puhuttelussa selvitetään, jos hakijalla on erityisprofiili. </w:t>
      </w:r>
      <w:r w:rsidRPr="000A0595">
        <w:rPr>
          <w:rFonts w:cs="Arial"/>
        </w:rPr>
        <w:t>Hakija ohjataan eteenpäin toiseen puhutteluun haavoittuviin turvapaikanhakijoihin erikoistuneelle ylitarkasta</w:t>
      </w:r>
      <w:r w:rsidRPr="00072139">
        <w:rPr>
          <w:rFonts w:cs="Arial"/>
        </w:rPr>
        <w:t xml:space="preserve">jalle, mikäli haavoittuvuus </w:t>
      </w:r>
      <w:r w:rsidRPr="000A0595">
        <w:rPr>
          <w:rFonts w:cs="Arial"/>
        </w:rPr>
        <w:t xml:space="preserve">tunnistetaan. Vastaanottokeskuksissa tunnistetut haavoittuvassa asemassa olevat turvapaikanhakijat ohjataan suoraan haavoittuviin turvapaikanhakijoihin erikoistuneelle ylitarkastajalle. </w:t>
      </w:r>
      <w:r w:rsidRPr="00072139">
        <w:t xml:space="preserve">Maahanmuuttovirasto </w:t>
      </w:r>
      <w:r w:rsidRPr="00CB570E">
        <w:t xml:space="preserve">on sekä </w:t>
      </w:r>
      <w:r w:rsidRPr="00CB570E">
        <w:rPr>
          <w:bCs/>
        </w:rPr>
        <w:t xml:space="preserve">kouluttanut vastaanottokeskuksen työntekijöitä </w:t>
      </w:r>
      <w:r>
        <w:t xml:space="preserve">oikeudellisesta neuvonnasta, että </w:t>
      </w:r>
      <w:r w:rsidRPr="00CB570E">
        <w:t xml:space="preserve">ohjeistanut </w:t>
      </w:r>
      <w:r w:rsidRPr="00CB570E">
        <w:rPr>
          <w:bCs/>
        </w:rPr>
        <w:t xml:space="preserve">vastaanottokeskuksia oikeusavun piiriin </w:t>
      </w:r>
      <w:r>
        <w:rPr>
          <w:bCs/>
        </w:rPr>
        <w:t xml:space="preserve">ohjaamisesta. Tällä </w:t>
      </w:r>
      <w:r w:rsidRPr="000A0595">
        <w:rPr>
          <w:bCs/>
        </w:rPr>
        <w:t xml:space="preserve">hetkellä Maahanmuuttovirasto työstää uutta ohjetta turvapaikanhakijoiden ohjaamisesta oikeusapuun vastaanottokeskusten käyttöön. </w:t>
      </w:r>
    </w:p>
    <w:p w14:paraId="1FD2A71B" w14:textId="77777777" w:rsidR="00C05093" w:rsidRDefault="00C05093" w:rsidP="00C05093">
      <w:pPr>
        <w:spacing w:after="0" w:line="240" w:lineRule="auto"/>
        <w:rPr>
          <w:bCs/>
          <w:color w:val="FF0000"/>
        </w:rPr>
      </w:pPr>
    </w:p>
    <w:p w14:paraId="6F617991" w14:textId="77777777" w:rsidR="00C05093" w:rsidRDefault="00C05093" w:rsidP="00C05093">
      <w:pPr>
        <w:spacing w:after="0" w:line="240" w:lineRule="auto"/>
        <w:rPr>
          <w:bCs/>
          <w:color w:val="FF0000"/>
        </w:rPr>
      </w:pPr>
    </w:p>
    <w:p w14:paraId="0981A9D0" w14:textId="77777777" w:rsidR="00C05093" w:rsidRPr="000A0595" w:rsidRDefault="00C05093" w:rsidP="00C05093">
      <w:pPr>
        <w:rPr>
          <w:b/>
        </w:rPr>
      </w:pPr>
      <w:r w:rsidRPr="00BB1C49">
        <w:rPr>
          <w:b/>
        </w:rPr>
        <w:t xml:space="preserve">Vastaanottokeskusten tunnistamiseen liittyvät </w:t>
      </w:r>
      <w:r w:rsidRPr="000A0595">
        <w:rPr>
          <w:b/>
        </w:rPr>
        <w:t xml:space="preserve">haasteet Migrin vastaanottoyksikön mukaan: </w:t>
      </w:r>
    </w:p>
    <w:p w14:paraId="4E5C4709" w14:textId="77777777" w:rsidR="00C05093" w:rsidRPr="00887235" w:rsidRDefault="00C05093" w:rsidP="00C05093">
      <w:pPr>
        <w:pStyle w:val="Luettelokappale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887235">
        <w:rPr>
          <w:rFonts w:asciiTheme="minorHAnsi" w:hAnsiTheme="minorHAnsi"/>
          <w:sz w:val="22"/>
          <w:szCs w:val="22"/>
        </w:rPr>
        <w:t>Puuttuminen rajallista muissa kuin puhtaasti terveydenhuollon tapauksissa ja lastensuojelutapauksissa</w:t>
      </w:r>
    </w:p>
    <w:p w14:paraId="451E0022" w14:textId="77777777" w:rsidR="00C05093" w:rsidRPr="00887235" w:rsidRDefault="00C05093" w:rsidP="00C05093">
      <w:pPr>
        <w:pStyle w:val="Luettelokappale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887235">
        <w:rPr>
          <w:rFonts w:asciiTheme="minorHAnsi" w:hAnsiTheme="minorHAnsi"/>
          <w:sz w:val="22"/>
          <w:szCs w:val="22"/>
        </w:rPr>
        <w:t>Resurssit rajalliset avun tarjoamiseen</w:t>
      </w:r>
    </w:p>
    <w:p w14:paraId="2AF7E65B" w14:textId="77777777" w:rsidR="00C05093" w:rsidRPr="00887235" w:rsidRDefault="00C05093" w:rsidP="00C05093">
      <w:pPr>
        <w:pStyle w:val="Luettelokappale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887235">
        <w:rPr>
          <w:rFonts w:asciiTheme="minorHAnsi" w:hAnsiTheme="minorHAnsi"/>
          <w:sz w:val="22"/>
          <w:szCs w:val="22"/>
        </w:rPr>
        <w:t>Tunnistaminen vaikeaa, jos asiakas ei asu vastaanottokeskuksessa</w:t>
      </w:r>
    </w:p>
    <w:p w14:paraId="034CE7E9" w14:textId="77777777" w:rsidR="00C05093" w:rsidRPr="00887235" w:rsidRDefault="00C05093" w:rsidP="00C05093">
      <w:pPr>
        <w:pStyle w:val="Luettelokappale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887235">
        <w:rPr>
          <w:rFonts w:asciiTheme="minorHAnsi" w:hAnsiTheme="minorHAnsi"/>
          <w:sz w:val="22"/>
          <w:szCs w:val="22"/>
        </w:rPr>
        <w:t>Vastaanottokeskuksen ammattilaisten käsitys siitä, mitä haavoittuvuudella tarkoitetaan vastaanottolain kontekstissa vaihtelee aika paljon</w:t>
      </w:r>
    </w:p>
    <w:p w14:paraId="3869879F" w14:textId="77777777" w:rsidR="00C05093" w:rsidRDefault="00C05093" w:rsidP="00C05093"/>
    <w:p w14:paraId="4384BE86" w14:textId="77777777" w:rsidR="00C05093" w:rsidRDefault="00C05093" w:rsidP="00C05093">
      <w:pPr>
        <w:spacing w:after="120"/>
        <w:rPr>
          <w:b/>
          <w:bCs/>
        </w:rPr>
      </w:pPr>
      <w:r>
        <w:rPr>
          <w:b/>
          <w:bCs/>
        </w:rPr>
        <w:t xml:space="preserve">Tunnistaminen </w:t>
      </w:r>
      <w:r w:rsidRPr="00072139">
        <w:rPr>
          <w:b/>
          <w:bCs/>
        </w:rPr>
        <w:t>käytännössä ja Migrin turvapaikkayksikön haasteet</w:t>
      </w:r>
    </w:p>
    <w:p w14:paraId="568DEA67" w14:textId="77777777" w:rsidR="00C05093" w:rsidRDefault="00C05093" w:rsidP="00C05093">
      <w:r>
        <w:t xml:space="preserve">Haavoittuvassa asemassa olevien turvapaikanhakijoiden tunnistamisessa on myös ollut haasteita. Maahanmuuttovirasto on havainnut seuraavat </w:t>
      </w:r>
      <w:r w:rsidRPr="00072139">
        <w:t>haasteet tunnistamisessa turvapaikkayksikössä</w:t>
      </w:r>
      <w:r>
        <w:t>:</w:t>
      </w:r>
    </w:p>
    <w:p w14:paraId="1D665573" w14:textId="77777777" w:rsidR="00C05093" w:rsidRDefault="00C05093" w:rsidP="00C05093">
      <w:pPr>
        <w:pStyle w:val="Luettelokappale"/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Lyhyet tapaamiset, joissa tunnistaminen ei aina helppoa</w:t>
      </w:r>
    </w:p>
    <w:p w14:paraId="79E8E30F" w14:textId="77777777" w:rsidR="00C05093" w:rsidRDefault="00C05093" w:rsidP="00C05093">
      <w:pPr>
        <w:pStyle w:val="Luettelokappale"/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Avun piiriin ohjaaminen haasteellista, jos hakija itse ei näe tarvetta</w:t>
      </w:r>
    </w:p>
    <w:p w14:paraId="765B9ED2" w14:textId="77777777" w:rsidR="00C05093" w:rsidRDefault="00C05093" w:rsidP="00C05093">
      <w:pPr>
        <w:pStyle w:val="Luettelokappale"/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Vaikka ohjattaisiin olemaan yhteydessä oikeusapuun tai oltaisiin sinne yhteydessä ei ole takeita siitä, että asiakas saa apua tai hänen asiaansa perehtyy pätevä avustaja</w:t>
      </w:r>
    </w:p>
    <w:p w14:paraId="33E8DF8B" w14:textId="77777777" w:rsidR="00C05093" w:rsidRDefault="00C05093" w:rsidP="00C05093">
      <w:pPr>
        <w:pStyle w:val="Luettelokappale"/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Osa avustajista niin kiireisiä, että hakijoiden prosessi pitkittyy, kun puhuttelua ei saada varattua</w:t>
      </w:r>
    </w:p>
    <w:p w14:paraId="07D497B7" w14:textId="77777777" w:rsidR="00C05093" w:rsidRPr="00DA7715" w:rsidRDefault="00C05093" w:rsidP="00C05093">
      <w:pPr>
        <w:spacing w:after="80" w:line="240" w:lineRule="auto"/>
        <w:rPr>
          <w:rFonts w:cs="Arial"/>
        </w:rPr>
      </w:pPr>
    </w:p>
    <w:p w14:paraId="01CCEE26" w14:textId="77777777" w:rsidR="00C05093" w:rsidRPr="00DA7715" w:rsidRDefault="00C05093" w:rsidP="00C05093">
      <w:pPr>
        <w:spacing w:after="120" w:line="240" w:lineRule="auto"/>
        <w:rPr>
          <w:rFonts w:cs="Arial"/>
          <w:b/>
        </w:rPr>
      </w:pPr>
      <w:r w:rsidRPr="00DA7715">
        <w:rPr>
          <w:rFonts w:cs="Arial"/>
          <w:b/>
        </w:rPr>
        <w:t xml:space="preserve">Keskustelussa nousi esiin </w:t>
      </w:r>
    </w:p>
    <w:p w14:paraId="26D3B929" w14:textId="77777777" w:rsidR="00C05093" w:rsidRDefault="00C05093" w:rsidP="00D0495E">
      <w:pPr>
        <w:spacing w:after="120" w:line="240" w:lineRule="auto"/>
        <w:rPr>
          <w:rFonts w:cs="Arial"/>
        </w:rPr>
      </w:pPr>
      <w:r w:rsidRPr="00DA7715">
        <w:rPr>
          <w:rFonts w:cs="Arial"/>
        </w:rPr>
        <w:t>Oikeudellisen neuvonnan tarve vastaanottokeskuksissa. Migri on laatinut ohjeen ja kouluttanut vastaanottokeskuksia oikeudellisen neuvonnan antamisesta. Oikeudellisen neuvonnan käytännön toteutuksesta ei ole</w:t>
      </w:r>
      <w:r>
        <w:rPr>
          <w:rFonts w:cs="Arial"/>
        </w:rPr>
        <w:t xml:space="preserve"> Migrin puolelta varmaa tietoa.</w:t>
      </w:r>
    </w:p>
    <w:p w14:paraId="03575361" w14:textId="6ADC7725" w:rsidR="005460E3" w:rsidRPr="00C05093" w:rsidRDefault="0075409D" w:rsidP="00D0495E">
      <w:pPr>
        <w:spacing w:after="120" w:line="240" w:lineRule="auto"/>
        <w:rPr>
          <w:rFonts w:cs="Arial"/>
        </w:rPr>
      </w:pPr>
      <w:r w:rsidRPr="00DA7715">
        <w:rPr>
          <w:rFonts w:cs="Arial"/>
          <w:b/>
        </w:rPr>
        <w:lastRenderedPageBreak/>
        <w:t xml:space="preserve">HAAVOITTUVASSA ASEMASSA OLEVIEN TURVAPAIKANHAKIJOIDEN AVUSTAMINEN- OIKEUSAPUTOIMISTON HAVAINTOJA </w:t>
      </w:r>
    </w:p>
    <w:p w14:paraId="48265122" w14:textId="77777777" w:rsidR="00445017" w:rsidRPr="00DA7715" w:rsidRDefault="00445017" w:rsidP="00D0495E">
      <w:pPr>
        <w:spacing w:after="120" w:line="240" w:lineRule="auto"/>
        <w:rPr>
          <w:rFonts w:cs="Arial"/>
          <w:b/>
        </w:rPr>
      </w:pPr>
      <w:r w:rsidRPr="00DA7715">
        <w:rPr>
          <w:rFonts w:cs="Arial"/>
          <w:i/>
        </w:rPr>
        <w:t xml:space="preserve">Aki Nykänen, julkinen oikeusavustaja, Kymenlaakson oikeusaputoimisto                                             </w:t>
      </w:r>
    </w:p>
    <w:p w14:paraId="09FB436A" w14:textId="1D0EFA48" w:rsidR="00FE21CB" w:rsidRPr="00DA7715" w:rsidRDefault="00BF1664" w:rsidP="001C4FD6">
      <w:pPr>
        <w:spacing w:line="240" w:lineRule="auto"/>
        <w:rPr>
          <w:rFonts w:cs="Arial"/>
        </w:rPr>
      </w:pPr>
      <w:r w:rsidRPr="00DA7715">
        <w:rPr>
          <w:rFonts w:cs="Arial"/>
        </w:rPr>
        <w:t>Kymenlaakson oikeusapu</w:t>
      </w:r>
      <w:r w:rsidR="00DC5B43" w:rsidRPr="00DA7715">
        <w:rPr>
          <w:rFonts w:cs="Arial"/>
        </w:rPr>
        <w:t xml:space="preserve">toimisto on käynyt vastaanottokeskuksissa tiedottamassa ja tapaamassa asiakkaita. </w:t>
      </w:r>
      <w:r w:rsidR="00125E25" w:rsidRPr="00DA7715">
        <w:rPr>
          <w:rFonts w:cs="Arial"/>
        </w:rPr>
        <w:t xml:space="preserve">Alustaja </w:t>
      </w:r>
      <w:r w:rsidRPr="00DA7715">
        <w:rPr>
          <w:rFonts w:cs="Arial"/>
        </w:rPr>
        <w:t>Nykänen on k</w:t>
      </w:r>
      <w:r w:rsidR="00DC5B43" w:rsidRPr="00DA7715">
        <w:rPr>
          <w:rFonts w:cs="Arial"/>
        </w:rPr>
        <w:t>iin</w:t>
      </w:r>
      <w:bookmarkStart w:id="0" w:name="_GoBack"/>
      <w:bookmarkEnd w:id="0"/>
      <w:r w:rsidR="00DC5B43" w:rsidRPr="00DA7715">
        <w:rPr>
          <w:rFonts w:cs="Arial"/>
        </w:rPr>
        <w:t>nittänyt huomiota siihen, että oikeusavustajien jo</w:t>
      </w:r>
      <w:r w:rsidR="002325C0" w:rsidRPr="00DA7715">
        <w:rPr>
          <w:rFonts w:cs="Arial"/>
        </w:rPr>
        <w:t>ukossa on ollut ammattitaidottomia</w:t>
      </w:r>
      <w:r w:rsidR="00DC5B43" w:rsidRPr="00DA7715">
        <w:rPr>
          <w:rFonts w:cs="Arial"/>
        </w:rPr>
        <w:t xml:space="preserve"> toimijoita. </w:t>
      </w:r>
      <w:r w:rsidRPr="00DA7715">
        <w:rPr>
          <w:rFonts w:cs="Arial"/>
        </w:rPr>
        <w:t>Nykänen jakoi h</w:t>
      </w:r>
      <w:r w:rsidR="00DC5B43" w:rsidRPr="00DA7715">
        <w:rPr>
          <w:rFonts w:cs="Arial"/>
        </w:rPr>
        <w:t>avaintoja</w:t>
      </w:r>
      <w:r w:rsidR="00F94309" w:rsidRPr="00DA7715">
        <w:rPr>
          <w:rFonts w:cs="Arial"/>
        </w:rPr>
        <w:t>an</w:t>
      </w:r>
      <w:r w:rsidR="00DC5B43" w:rsidRPr="00DA7715">
        <w:rPr>
          <w:rFonts w:cs="Arial"/>
        </w:rPr>
        <w:t xml:space="preserve"> kolm</w:t>
      </w:r>
      <w:r w:rsidR="001C4FD6" w:rsidRPr="00DA7715">
        <w:rPr>
          <w:rFonts w:cs="Arial"/>
        </w:rPr>
        <w:t xml:space="preserve">esta tapauksesta, joissa </w:t>
      </w:r>
      <w:r w:rsidR="00F94309" w:rsidRPr="00DA7715">
        <w:rPr>
          <w:rFonts w:cs="Arial"/>
        </w:rPr>
        <w:t xml:space="preserve">esille </w:t>
      </w:r>
      <w:r w:rsidR="001C4FD6" w:rsidRPr="00DA7715">
        <w:rPr>
          <w:rFonts w:cs="Arial"/>
        </w:rPr>
        <w:t xml:space="preserve">nousee </w:t>
      </w:r>
      <w:r w:rsidR="00F94309" w:rsidRPr="00DA7715">
        <w:rPr>
          <w:rFonts w:cs="Arial"/>
        </w:rPr>
        <w:t>oikeusapuasiat. Läp</w:t>
      </w:r>
      <w:r w:rsidR="00C85FCC" w:rsidRPr="00DA7715">
        <w:rPr>
          <w:rFonts w:cs="Arial"/>
        </w:rPr>
        <w:t>i</w:t>
      </w:r>
      <w:r w:rsidR="00F94309" w:rsidRPr="00DA7715">
        <w:rPr>
          <w:rFonts w:cs="Arial"/>
        </w:rPr>
        <w:t>leikkaavana teemana tapaukset painottiv</w:t>
      </w:r>
      <w:r w:rsidR="00FE21CB" w:rsidRPr="00DA7715">
        <w:rPr>
          <w:rFonts w:cs="Arial"/>
        </w:rPr>
        <w:t>at alkuvaiheen oikeusavun</w:t>
      </w:r>
      <w:r w:rsidR="00F94309" w:rsidRPr="00DA7715">
        <w:rPr>
          <w:rFonts w:cs="Arial"/>
        </w:rPr>
        <w:t xml:space="preserve"> ja avustajan tärkeyttä. </w:t>
      </w:r>
      <w:r w:rsidR="007C596E" w:rsidRPr="00DA7715">
        <w:rPr>
          <w:rFonts w:cs="Arial"/>
        </w:rPr>
        <w:t>Hakijan u</w:t>
      </w:r>
      <w:r w:rsidR="00DC5B43" w:rsidRPr="00DA7715">
        <w:rPr>
          <w:rFonts w:cs="Arial"/>
        </w:rPr>
        <w:t>skottavuus kärsii, jos oikeat asiat eivät tule ajoissa es</w:t>
      </w:r>
      <w:r w:rsidR="001C4FD6" w:rsidRPr="00DA7715">
        <w:rPr>
          <w:rFonts w:cs="Arial"/>
        </w:rPr>
        <w:t>ille turvapa</w:t>
      </w:r>
      <w:r w:rsidR="00DA7715">
        <w:rPr>
          <w:rFonts w:cs="Arial"/>
        </w:rPr>
        <w:t xml:space="preserve">ikkapuhutteluissa. </w:t>
      </w:r>
    </w:p>
    <w:p w14:paraId="6DDBCC4B" w14:textId="00E4287F" w:rsidR="00FE21CB" w:rsidRPr="00DA7715" w:rsidRDefault="008D5D67" w:rsidP="00C91197">
      <w:pPr>
        <w:spacing w:line="240" w:lineRule="auto"/>
        <w:rPr>
          <w:rFonts w:cs="Arial"/>
        </w:rPr>
      </w:pPr>
      <w:r w:rsidRPr="00DA7715">
        <w:rPr>
          <w:rFonts w:cs="Arial"/>
        </w:rPr>
        <w:t xml:space="preserve">Käytännöt haavoittuvassa asemassa olevien turvapaikanhakijoiden tunnistamiselle vaihtelevat paljon eri vastaanottokeskuksissa. </w:t>
      </w:r>
      <w:r w:rsidR="004E730E" w:rsidRPr="00DA7715">
        <w:rPr>
          <w:rFonts w:cs="Arial"/>
        </w:rPr>
        <w:t xml:space="preserve">Esimerkkinä tapaus, jossa asiakas </w:t>
      </w:r>
      <w:r w:rsidR="001C4FD6" w:rsidRPr="00DA7715">
        <w:rPr>
          <w:rFonts w:cs="Arial"/>
        </w:rPr>
        <w:t xml:space="preserve">on </w:t>
      </w:r>
      <w:r w:rsidR="00FE21CB" w:rsidRPr="00DA7715">
        <w:rPr>
          <w:rFonts w:cs="Arial"/>
        </w:rPr>
        <w:t xml:space="preserve">valistusvaiheessa </w:t>
      </w:r>
      <w:r w:rsidR="004E730E" w:rsidRPr="00DA7715">
        <w:rPr>
          <w:rFonts w:cs="Arial"/>
        </w:rPr>
        <w:t>ottanut yhte</w:t>
      </w:r>
      <w:r w:rsidR="00FE21CB" w:rsidRPr="00DA7715">
        <w:rPr>
          <w:rFonts w:cs="Arial"/>
        </w:rPr>
        <w:t xml:space="preserve">yttä julkiseen oikeusavustajaan. </w:t>
      </w:r>
      <w:r w:rsidR="004E730E" w:rsidRPr="00DA7715">
        <w:rPr>
          <w:rFonts w:cs="Arial"/>
        </w:rPr>
        <w:t xml:space="preserve">Migrin </w:t>
      </w:r>
      <w:r w:rsidRPr="00DA7715">
        <w:rPr>
          <w:rFonts w:cs="Arial"/>
        </w:rPr>
        <w:t>turvapaikka</w:t>
      </w:r>
      <w:r w:rsidR="004E730E" w:rsidRPr="00DA7715">
        <w:rPr>
          <w:rFonts w:cs="Arial"/>
        </w:rPr>
        <w:t xml:space="preserve">puhuttelussa hakijalta </w:t>
      </w:r>
      <w:r w:rsidR="00B449A7">
        <w:rPr>
          <w:rFonts w:cs="Arial"/>
        </w:rPr>
        <w:t>kysyttiin</w:t>
      </w:r>
      <w:r w:rsidRPr="00DA7715">
        <w:rPr>
          <w:rFonts w:cs="Arial"/>
        </w:rPr>
        <w:t xml:space="preserve"> vain yksityiskohtaisia kysymyksiä eikä laajemmin, kuten yleensä on tapana. </w:t>
      </w:r>
      <w:r w:rsidR="004E730E" w:rsidRPr="00DA7715">
        <w:rPr>
          <w:rFonts w:cs="Arial"/>
        </w:rPr>
        <w:t xml:space="preserve">Tästä johtuen haavoittuvaa asemaa ei tunnistettu. Hakija on kertonut valitusvaiheessa oikeusavustajalle, että hän on joutunut väkivaltaisen kohtelun uhriksi. Oikeusavustaja </w:t>
      </w:r>
      <w:r w:rsidR="001C4FD6" w:rsidRPr="00DA7715">
        <w:rPr>
          <w:rFonts w:cs="Arial"/>
        </w:rPr>
        <w:t xml:space="preserve">on </w:t>
      </w:r>
      <w:r w:rsidR="004E730E" w:rsidRPr="00DA7715">
        <w:rPr>
          <w:rFonts w:cs="Arial"/>
        </w:rPr>
        <w:t>ottanut yhteyttä vastaanottokeskuksen sairaanhoitajaan, mutta hakija ei saanut aikaa lääkärille. Perusteluna oli, että ellei asiakkaan voinnissa tule ilmi merkittävää huolta psyykkisestä sairaudesta</w:t>
      </w:r>
      <w:r w:rsidR="001C4FD6" w:rsidRPr="00DA7715">
        <w:rPr>
          <w:rFonts w:cs="Arial"/>
        </w:rPr>
        <w:t>, lääkärilaskua</w:t>
      </w:r>
      <w:r w:rsidR="004E730E" w:rsidRPr="00DA7715">
        <w:rPr>
          <w:rFonts w:cs="Arial"/>
        </w:rPr>
        <w:t xml:space="preserve"> ei makseta. Seurauksena asiakas ei saanut lääkärintodistusta</w:t>
      </w:r>
      <w:r w:rsidR="00075345" w:rsidRPr="00DA7715">
        <w:rPr>
          <w:rFonts w:cs="Arial"/>
        </w:rPr>
        <w:t xml:space="preserve">, joka oli tarpeellinen tunnistamista varten. </w:t>
      </w:r>
    </w:p>
    <w:p w14:paraId="161957B7" w14:textId="77777777" w:rsidR="00D0495E" w:rsidRDefault="00D0495E" w:rsidP="00D0495E">
      <w:pPr>
        <w:spacing w:after="120" w:line="240" w:lineRule="auto"/>
        <w:rPr>
          <w:rFonts w:cs="Arial"/>
          <w:b/>
        </w:rPr>
      </w:pPr>
    </w:p>
    <w:p w14:paraId="24EC01FA" w14:textId="117A263B" w:rsidR="00F94309" w:rsidRPr="00DA7715" w:rsidRDefault="00125E25" w:rsidP="00D0495E">
      <w:pPr>
        <w:spacing w:after="120" w:line="240" w:lineRule="auto"/>
        <w:rPr>
          <w:rFonts w:cs="Arial"/>
          <w:b/>
        </w:rPr>
      </w:pPr>
      <w:r w:rsidRPr="00DA7715">
        <w:rPr>
          <w:rFonts w:cs="Arial"/>
          <w:b/>
        </w:rPr>
        <w:t xml:space="preserve">OIKEUSAPU JA HAAVOITTUVASSA ASEMASSA OLEVAT TURVAPAIKANHAKIJAT </w:t>
      </w:r>
    </w:p>
    <w:p w14:paraId="0D148ECB" w14:textId="77777777" w:rsidR="00F94309" w:rsidRPr="00DA7715" w:rsidRDefault="00F94309" w:rsidP="00D0495E">
      <w:pPr>
        <w:spacing w:after="120" w:line="240" w:lineRule="auto"/>
        <w:rPr>
          <w:rFonts w:cs="Arial"/>
        </w:rPr>
      </w:pPr>
      <w:r w:rsidRPr="00DA7715">
        <w:rPr>
          <w:rFonts w:cs="Arial"/>
          <w:i/>
        </w:rPr>
        <w:t>Kirsi Hytinantti,</w:t>
      </w:r>
      <w:r w:rsidRPr="00DA7715">
        <w:rPr>
          <w:rFonts w:cs="Arial"/>
        </w:rPr>
        <w:t xml:space="preserve"> </w:t>
      </w:r>
      <w:r w:rsidRPr="00DA7715">
        <w:rPr>
          <w:rFonts w:cs="Arial"/>
          <w:i/>
        </w:rPr>
        <w:t>asianajaja, varatuomari, Asianajotoimisto Hytinantti</w:t>
      </w:r>
      <w:r w:rsidRPr="00DA7715">
        <w:rPr>
          <w:rFonts w:cs="Arial"/>
        </w:rPr>
        <w:t xml:space="preserve"> </w:t>
      </w:r>
    </w:p>
    <w:p w14:paraId="68B6B359" w14:textId="77777777" w:rsidR="00F94309" w:rsidRPr="00DA7715" w:rsidRDefault="00C46BE6" w:rsidP="00D0495E">
      <w:pPr>
        <w:spacing w:after="120" w:line="240" w:lineRule="auto"/>
        <w:rPr>
          <w:rFonts w:cs="Arial"/>
          <w:b/>
        </w:rPr>
      </w:pPr>
      <w:r w:rsidRPr="00DA7715">
        <w:rPr>
          <w:rFonts w:cs="Arial"/>
          <w:b/>
        </w:rPr>
        <w:t xml:space="preserve">Tiedonkulku </w:t>
      </w:r>
    </w:p>
    <w:p w14:paraId="440B409D" w14:textId="77777777" w:rsidR="00C46BE6" w:rsidRPr="00DA7715" w:rsidRDefault="00C46BE6" w:rsidP="00C91197">
      <w:pPr>
        <w:spacing w:line="240" w:lineRule="auto"/>
        <w:rPr>
          <w:rFonts w:cs="Arial"/>
        </w:rPr>
      </w:pPr>
      <w:r w:rsidRPr="00DA7715">
        <w:rPr>
          <w:rFonts w:cs="Arial"/>
        </w:rPr>
        <w:t>Suurimassa osassa vastaanottokeskuksia ei ole mitään neuvontaa tai tiedotusta turvapaikanhakijoillehakijoille. Tieto ei kulje ja hakijat eivät tule kuulluksi</w:t>
      </w:r>
      <w:r w:rsidR="00EC631D" w:rsidRPr="00DA7715">
        <w:rPr>
          <w:rFonts w:cs="Arial"/>
        </w:rPr>
        <w:t>. H</w:t>
      </w:r>
      <w:r w:rsidR="00EC6E70" w:rsidRPr="00DA7715">
        <w:rPr>
          <w:rFonts w:cs="Arial"/>
        </w:rPr>
        <w:t xml:space="preserve">akijoilla </w:t>
      </w:r>
      <w:r w:rsidR="00EC631D" w:rsidRPr="00DA7715">
        <w:rPr>
          <w:rFonts w:cs="Arial"/>
        </w:rPr>
        <w:t xml:space="preserve">on </w:t>
      </w:r>
      <w:r w:rsidR="00EC6E70" w:rsidRPr="00DA7715">
        <w:rPr>
          <w:rFonts w:cs="Arial"/>
        </w:rPr>
        <w:t>vaihtelevasti tietoa oikeuksistaan</w:t>
      </w:r>
      <w:r w:rsidR="00214F9B" w:rsidRPr="00DA7715">
        <w:rPr>
          <w:rFonts w:cs="Arial"/>
        </w:rPr>
        <w:t xml:space="preserve"> ja velvollisuuksistaan</w:t>
      </w:r>
      <w:r w:rsidRPr="00DA7715">
        <w:rPr>
          <w:rFonts w:cs="Arial"/>
        </w:rPr>
        <w:t xml:space="preserve">. Havainnot jäävät tekemättä ja haavoittuva asema jää tunnistamatta. </w:t>
      </w:r>
    </w:p>
    <w:p w14:paraId="7EBA945C" w14:textId="77777777" w:rsidR="00C46BE6" w:rsidRPr="00DA7715" w:rsidRDefault="00C46BE6" w:rsidP="00D0495E">
      <w:pPr>
        <w:spacing w:after="120" w:line="240" w:lineRule="auto"/>
        <w:rPr>
          <w:rFonts w:cs="Arial"/>
          <w:b/>
        </w:rPr>
      </w:pPr>
      <w:r w:rsidRPr="00DA7715">
        <w:rPr>
          <w:rFonts w:cs="Arial"/>
          <w:b/>
        </w:rPr>
        <w:t xml:space="preserve">Oikeus oikeusavustajaan </w:t>
      </w:r>
    </w:p>
    <w:p w14:paraId="62402649" w14:textId="5663C428" w:rsidR="002325C0" w:rsidRPr="00DA7715" w:rsidRDefault="00C46BE6" w:rsidP="00C91197">
      <w:pPr>
        <w:spacing w:line="240" w:lineRule="auto"/>
        <w:rPr>
          <w:rFonts w:cs="Arial"/>
        </w:rPr>
      </w:pPr>
      <w:r w:rsidRPr="00DA7715">
        <w:rPr>
          <w:rFonts w:cs="Arial"/>
        </w:rPr>
        <w:t>Tietoa useista hakijoista, joka ei</w:t>
      </w:r>
      <w:r w:rsidR="00BF1664" w:rsidRPr="00DA7715">
        <w:rPr>
          <w:rFonts w:cs="Arial"/>
        </w:rPr>
        <w:t>vät ole tavanneet</w:t>
      </w:r>
      <w:r w:rsidRPr="00DA7715">
        <w:rPr>
          <w:rFonts w:cs="Arial"/>
        </w:rPr>
        <w:t xml:space="preserve"> lakimiestä. </w:t>
      </w:r>
      <w:r w:rsidR="002325C0" w:rsidRPr="00DA7715">
        <w:t>Hakijat kääntyvät julkisten oikeusavustajien puol</w:t>
      </w:r>
      <w:r w:rsidR="007C596E" w:rsidRPr="00DA7715">
        <w:t>een</w:t>
      </w:r>
      <w:r w:rsidR="00A5687A" w:rsidRPr="00DA7715">
        <w:t xml:space="preserve"> ja </w:t>
      </w:r>
      <w:r w:rsidR="002325C0" w:rsidRPr="00DA7715">
        <w:t>ohjausta yksityiselle oikeusavustajalle</w:t>
      </w:r>
      <w:r w:rsidR="00A5687A" w:rsidRPr="00DA7715">
        <w:t xml:space="preserve"> tarjotaan harvoin</w:t>
      </w:r>
      <w:r w:rsidR="002325C0" w:rsidRPr="00DA7715">
        <w:t>.</w:t>
      </w:r>
      <w:r w:rsidR="002325C0" w:rsidRPr="00DA7715">
        <w:rPr>
          <w:rFonts w:cs="Arial"/>
        </w:rPr>
        <w:t xml:space="preserve"> </w:t>
      </w:r>
      <w:r w:rsidR="00EC631D" w:rsidRPr="00DA7715">
        <w:rPr>
          <w:rFonts w:cs="Arial"/>
        </w:rPr>
        <w:t>Ennen kielteistä päätöstä/valitusvaihetta h</w:t>
      </w:r>
      <w:r w:rsidR="00EC6E70" w:rsidRPr="00DA7715">
        <w:rPr>
          <w:rFonts w:cs="Arial"/>
        </w:rPr>
        <w:t xml:space="preserve">akija saattaa </w:t>
      </w:r>
      <w:r w:rsidR="00EC631D" w:rsidRPr="00DA7715">
        <w:rPr>
          <w:rFonts w:cs="Arial"/>
        </w:rPr>
        <w:t xml:space="preserve">joutua maksamaan itse yksityisen oikeusavustajan palkkiot. </w:t>
      </w:r>
    </w:p>
    <w:p w14:paraId="0331AA74" w14:textId="2BDF74A1" w:rsidR="00C15462" w:rsidRPr="00DA7715" w:rsidRDefault="00C15462" w:rsidP="00C15462">
      <w:pPr>
        <w:spacing w:after="0" w:line="240" w:lineRule="auto"/>
        <w:rPr>
          <w:rFonts w:ascii="Calibri" w:eastAsia="Times New Roman" w:hAnsi="Calibri" w:cs="Helvetica"/>
          <w:lang w:eastAsia="sv-SE"/>
        </w:rPr>
      </w:pPr>
      <w:r w:rsidRPr="00DA7715">
        <w:rPr>
          <w:rFonts w:ascii="Calibri" w:eastAsia="Times New Roman" w:hAnsi="Calibri" w:cs="Helvetica"/>
          <w:bCs/>
          <w:lang w:eastAsia="sv-SE"/>
        </w:rPr>
        <w:t xml:space="preserve">Kansainvälistä suojelua hakevien oikeusapua on rajattu siten, että turvapaikkapuhutteluun kuuluu avustajan läsnäolo vain, jos se on erityisen painavista syistä tarpeen. Hakijan haavoittuva asema arvioidaan </w:t>
      </w:r>
      <w:r w:rsidRPr="00DA7715">
        <w:rPr>
          <w:rFonts w:ascii="Calibri" w:eastAsia="Times New Roman" w:hAnsi="Calibri" w:cs="Helvetica"/>
          <w:bCs/>
          <w:iCs/>
          <w:lang w:eastAsia="sv-SE"/>
        </w:rPr>
        <w:t xml:space="preserve">kuitenkin usein </w:t>
      </w:r>
      <w:r w:rsidRPr="00DA7715">
        <w:rPr>
          <w:rFonts w:ascii="Calibri" w:eastAsia="Times New Roman" w:hAnsi="Calibri" w:cs="Helvetica"/>
          <w:bCs/>
          <w:lang w:eastAsia="sv-SE"/>
        </w:rPr>
        <w:t xml:space="preserve">vasta turvapaikkapuhuttelun aikana. Seuraukset ovat ongelmallisia yksityisille oikeusavustajille, jotka ovat oikeutettuja palkkioon vain, jos kriteeri erityisen painavista syistä täyttyy. </w:t>
      </w:r>
      <w:r w:rsidRPr="00DA7715">
        <w:rPr>
          <w:rFonts w:ascii="Calibri" w:eastAsia="Times New Roman" w:hAnsi="Calibri" w:cs="Helvetica"/>
          <w:bCs/>
          <w:iCs/>
          <w:lang w:eastAsia="sv-SE"/>
        </w:rPr>
        <w:t>Sen täyttymisen arvioinnin tekee kuitenkin vain oikeusaputoimisto ja vasta puhutteluavustamisen jälkeen, jos avustaja laskussaan osaa näyttää toteen painavan syyn ja esim. haavoittuvan aseman.</w:t>
      </w:r>
      <w:r w:rsidRPr="00DA7715">
        <w:rPr>
          <w:rFonts w:ascii="Calibri" w:eastAsia="Times New Roman" w:hAnsi="Calibri" w:cs="Helvetica"/>
          <w:bCs/>
          <w:lang w:eastAsia="sv-SE"/>
        </w:rPr>
        <w:t xml:space="preserve"> </w:t>
      </w:r>
    </w:p>
    <w:p w14:paraId="43794B12" w14:textId="4C61D4E4" w:rsidR="00C15462" w:rsidRPr="00DA7715" w:rsidRDefault="00C15462" w:rsidP="00D0495E">
      <w:pPr>
        <w:spacing w:line="240" w:lineRule="auto"/>
        <w:contextualSpacing/>
        <w:rPr>
          <w:rFonts w:ascii="Arial" w:hAnsi="Arial" w:cs="Arial"/>
        </w:rPr>
      </w:pPr>
    </w:p>
    <w:p w14:paraId="16532916" w14:textId="77777777" w:rsidR="00C46BE6" w:rsidRPr="00DA7715" w:rsidRDefault="00C46BE6" w:rsidP="00D0495E">
      <w:pPr>
        <w:spacing w:after="120" w:line="240" w:lineRule="auto"/>
        <w:rPr>
          <w:rFonts w:cs="Arial"/>
          <w:b/>
        </w:rPr>
      </w:pPr>
      <w:r w:rsidRPr="00DA7715">
        <w:rPr>
          <w:rFonts w:cs="Arial"/>
          <w:b/>
        </w:rPr>
        <w:t xml:space="preserve">Turvapaikkapuhuttelut </w:t>
      </w:r>
      <w:r w:rsidR="00EC6E70" w:rsidRPr="00DA7715">
        <w:rPr>
          <w:rFonts w:cs="Arial"/>
          <w:b/>
        </w:rPr>
        <w:t>&amp; päätökset</w:t>
      </w:r>
    </w:p>
    <w:p w14:paraId="55A7DA69" w14:textId="7656A374" w:rsidR="00FB3024" w:rsidRPr="00DA7715" w:rsidRDefault="00C46BE6" w:rsidP="00C91197">
      <w:pPr>
        <w:spacing w:line="240" w:lineRule="auto"/>
        <w:rPr>
          <w:rFonts w:cs="Arial"/>
        </w:rPr>
      </w:pPr>
      <w:r w:rsidRPr="00DA7715">
        <w:rPr>
          <w:rFonts w:cs="Arial"/>
        </w:rPr>
        <w:t xml:space="preserve">Hakijat </w:t>
      </w:r>
      <w:r w:rsidR="00EC6E70" w:rsidRPr="00DA7715">
        <w:rPr>
          <w:rFonts w:cs="Arial"/>
        </w:rPr>
        <w:t xml:space="preserve">odottavat </w:t>
      </w:r>
      <w:r w:rsidR="002837BC">
        <w:rPr>
          <w:rFonts w:cs="Arial"/>
        </w:rPr>
        <w:t>turvapaikka</w:t>
      </w:r>
      <w:r w:rsidR="00EC6E70" w:rsidRPr="00DA7715">
        <w:rPr>
          <w:rFonts w:cs="Arial"/>
        </w:rPr>
        <w:t xml:space="preserve">puhutteluja ja päätöksiä pitkään. </w:t>
      </w:r>
      <w:r w:rsidR="0075409D" w:rsidRPr="00DA7715">
        <w:rPr>
          <w:rFonts w:cs="Arial"/>
        </w:rPr>
        <w:t xml:space="preserve">Puhuttelut voivat kestää useita tunteja (6-20). </w:t>
      </w:r>
      <w:r w:rsidR="00214F9B" w:rsidRPr="00DA7715">
        <w:rPr>
          <w:rFonts w:cs="Arial"/>
        </w:rPr>
        <w:t>Tiedossa</w:t>
      </w:r>
      <w:r w:rsidR="00BF1664" w:rsidRPr="00DA7715">
        <w:rPr>
          <w:rFonts w:cs="Arial"/>
        </w:rPr>
        <w:t xml:space="preserve"> on</w:t>
      </w:r>
      <w:r w:rsidR="00214F9B" w:rsidRPr="00DA7715">
        <w:rPr>
          <w:rFonts w:cs="Arial"/>
        </w:rPr>
        <w:t xml:space="preserve"> t</w:t>
      </w:r>
      <w:r w:rsidR="00EC6E70" w:rsidRPr="00DA7715">
        <w:rPr>
          <w:rFonts w:cs="Arial"/>
        </w:rPr>
        <w:t xml:space="preserve">apauksia, jossa haavoittuvassa asemassa olevat </w:t>
      </w:r>
      <w:r w:rsidR="0075409D" w:rsidRPr="00DA7715">
        <w:rPr>
          <w:rFonts w:cs="Arial"/>
        </w:rPr>
        <w:t>turvapaikan</w:t>
      </w:r>
      <w:r w:rsidR="00EC6E70" w:rsidRPr="00DA7715">
        <w:rPr>
          <w:rFonts w:cs="Arial"/>
        </w:rPr>
        <w:t xml:space="preserve">hakijat </w:t>
      </w:r>
      <w:r w:rsidR="00533A53" w:rsidRPr="00DA7715">
        <w:rPr>
          <w:rFonts w:cs="Arial"/>
        </w:rPr>
        <w:t>ovat</w:t>
      </w:r>
      <w:r w:rsidR="00214F9B" w:rsidRPr="00DA7715">
        <w:rPr>
          <w:rFonts w:cs="Arial"/>
        </w:rPr>
        <w:t xml:space="preserve"> ilman avustajaa puhutteluissa. Lisäksi tapauksia, joissa hakija odottanut päätöstä pitkään. Esimerkkinä tapaus, jossa h</w:t>
      </w:r>
      <w:r w:rsidR="00EC6E70" w:rsidRPr="00DA7715">
        <w:rPr>
          <w:rFonts w:cs="Arial"/>
        </w:rPr>
        <w:t xml:space="preserve">aavoittuvassa asemassa olevalle </w:t>
      </w:r>
      <w:r w:rsidR="0075409D" w:rsidRPr="00DA7715">
        <w:rPr>
          <w:rFonts w:cs="Arial"/>
        </w:rPr>
        <w:t xml:space="preserve">turvapaikanhakijalle </w:t>
      </w:r>
      <w:r w:rsidR="00FB3024" w:rsidRPr="00DA7715">
        <w:rPr>
          <w:rFonts w:cs="Arial"/>
        </w:rPr>
        <w:t xml:space="preserve">luvattu päätös kolme kuukautta </w:t>
      </w:r>
      <w:r w:rsidR="00471155" w:rsidRPr="00DA7715">
        <w:rPr>
          <w:rFonts w:cs="Arial"/>
        </w:rPr>
        <w:t>puhuttelun (2016) jälkeen, mutta hakija</w:t>
      </w:r>
      <w:r w:rsidR="00EC6E70" w:rsidRPr="00DA7715">
        <w:rPr>
          <w:rFonts w:cs="Arial"/>
        </w:rPr>
        <w:t xml:space="preserve"> odottaa edelleen (17.9.2017) päätöstä.  </w:t>
      </w:r>
    </w:p>
    <w:p w14:paraId="54C5B0D7" w14:textId="4AAADE52" w:rsidR="00C6539B" w:rsidRPr="00DA7715" w:rsidRDefault="00C6539B" w:rsidP="00D0495E">
      <w:pPr>
        <w:spacing w:after="120" w:line="240" w:lineRule="auto"/>
        <w:rPr>
          <w:rFonts w:cs="Arial"/>
          <w:b/>
        </w:rPr>
      </w:pPr>
      <w:r w:rsidRPr="00DA7715">
        <w:rPr>
          <w:rFonts w:cs="Arial"/>
          <w:b/>
        </w:rPr>
        <w:t xml:space="preserve">Asiakohtainen palkkio </w:t>
      </w:r>
    </w:p>
    <w:p w14:paraId="4195AD9E" w14:textId="2A99B4AF" w:rsidR="001C1342" w:rsidRPr="00DA7715" w:rsidRDefault="0075409D" w:rsidP="001C1342">
      <w:pPr>
        <w:spacing w:after="0" w:line="240" w:lineRule="auto"/>
      </w:pPr>
      <w:r w:rsidRPr="00DA7715">
        <w:t xml:space="preserve">Yksityisen avustajan enimmäispalkkio on muutettu kiinteäksi. Asiakohtainen palkkio on kiinteä työmäärästä riippumatta ja sitä </w:t>
      </w:r>
      <w:r w:rsidR="0036007C">
        <w:t>on mahdollista alentaa, muttei</w:t>
      </w:r>
      <w:r w:rsidRPr="00DA7715">
        <w:t xml:space="preserve"> korottaa. Enimmäispalkkio on käytössä vain kansainvälistä suojelua koskevissa asioissa ja se säädetään oikeusapulain 17 a §:ssä</w:t>
      </w:r>
      <w:r w:rsidR="00C15462" w:rsidRPr="00DA7715">
        <w:t xml:space="preserve"> ja palkkioasetuksen 7 a </w:t>
      </w:r>
      <w:r w:rsidR="00C15462" w:rsidRPr="00DA7715">
        <w:lastRenderedPageBreak/>
        <w:t>§:ssä. Asiakohtainen</w:t>
      </w:r>
      <w:r w:rsidR="008832E4" w:rsidRPr="00DA7715">
        <w:t xml:space="preserve"> palkkio on määritelty </w:t>
      </w:r>
      <w:r w:rsidR="00B873E3" w:rsidRPr="00DA7715">
        <w:t>aiemmin</w:t>
      </w:r>
      <w:r w:rsidR="00C15462" w:rsidRPr="00DA7715">
        <w:t xml:space="preserve"> maksettujen keskimääräisten palkkioiden </w:t>
      </w:r>
      <w:r w:rsidR="00905296">
        <w:t>perus</w:t>
      </w:r>
      <w:r w:rsidR="00916549">
        <w:t xml:space="preserve">teella. Asiakohtainen palkkio on myös määritelty sen ajankäytön perusteella, jota käytettiin turvapaikka-asian käsittelyyn ennen palkkiomuutosta. </w:t>
      </w:r>
      <w:r w:rsidR="00905296">
        <w:rPr>
          <w:rFonts w:ascii="Calibri" w:eastAsia="Times New Roman" w:hAnsi="Calibri" w:cs="Times New Roman"/>
        </w:rPr>
        <w:t>Tämä ei kuitenkaan</w:t>
      </w:r>
      <w:r w:rsidR="00905296" w:rsidRPr="00905296">
        <w:rPr>
          <w:rFonts w:ascii="Calibri" w:eastAsia="Times New Roman" w:hAnsi="Calibri" w:cs="Times New Roman"/>
        </w:rPr>
        <w:t xml:space="preserve"> vastaa </w:t>
      </w:r>
      <w:r w:rsidR="00905296">
        <w:rPr>
          <w:rFonts w:ascii="Calibri" w:eastAsia="Times New Roman" w:hAnsi="Calibri" w:cs="Times New Roman"/>
        </w:rPr>
        <w:t xml:space="preserve">sitä </w:t>
      </w:r>
      <w:r w:rsidR="009E206F">
        <w:rPr>
          <w:rFonts w:ascii="Calibri" w:eastAsia="Times New Roman" w:hAnsi="Calibri" w:cs="Times New Roman"/>
        </w:rPr>
        <w:t xml:space="preserve">aikaa, jota oikeusavustaja nykytilassa tarvitsee. </w:t>
      </w:r>
      <w:r w:rsidR="00DA7715" w:rsidRPr="00DA7715">
        <w:t>Käytännössä muutokset ovat johtaneet siihen, että asiamiehenä toimivalla lupalakimiehellä ja asianajajalla ei ole mahdollisuutta saada korvausta tosiasiasiallisesta tehdystä työstä. Palkkio ei ole riittävä esimerkiksi yksityisille oikeusavustajille</w:t>
      </w:r>
      <w:r w:rsidR="001C1342" w:rsidRPr="00DA7715">
        <w:t>, jotka eivät käytännössä enää lainkaan ole vastuussa prosessin alkuvaiheesta ja joutuvat</w:t>
      </w:r>
      <w:r w:rsidR="004909E6">
        <w:t xml:space="preserve"> valitusvaiheessa</w:t>
      </w:r>
      <w:r w:rsidR="001C1342" w:rsidRPr="00DA7715">
        <w:t xml:space="preserve"> aloittamaan työn k</w:t>
      </w:r>
      <w:r w:rsidR="004909E6">
        <w:t xml:space="preserve">okonaan alusta. </w:t>
      </w:r>
    </w:p>
    <w:p w14:paraId="01FBCE53" w14:textId="1AAC45E4" w:rsidR="00125E25" w:rsidRPr="00DA7715" w:rsidRDefault="00125E25" w:rsidP="00125E25">
      <w:pPr>
        <w:spacing w:after="0" w:line="240" w:lineRule="auto"/>
      </w:pPr>
    </w:p>
    <w:p w14:paraId="7810F487" w14:textId="0E7D3619" w:rsidR="00C6539B" w:rsidRPr="00DA7715" w:rsidRDefault="007C596E" w:rsidP="00D0495E">
      <w:pPr>
        <w:spacing w:after="120" w:line="240" w:lineRule="auto"/>
        <w:rPr>
          <w:rFonts w:cs="Arial"/>
          <w:b/>
        </w:rPr>
      </w:pPr>
      <w:r w:rsidRPr="00DA7715">
        <w:rPr>
          <w:rFonts w:cs="Arial"/>
          <w:b/>
        </w:rPr>
        <w:t xml:space="preserve">Hytinantin keskeiset havainnot oikeusavun käytännön toteutumisesta </w:t>
      </w:r>
      <w:r w:rsidR="00C6539B" w:rsidRPr="00DA7715">
        <w:rPr>
          <w:rFonts w:cs="Arial"/>
          <w:b/>
        </w:rPr>
        <w:t xml:space="preserve"> </w:t>
      </w:r>
    </w:p>
    <w:p w14:paraId="3716EB66" w14:textId="3AE8D927" w:rsidR="00533A53" w:rsidRPr="00DA7715" w:rsidRDefault="002B68A0" w:rsidP="00C91197">
      <w:pPr>
        <w:spacing w:after="0" w:line="240" w:lineRule="auto"/>
        <w:rPr>
          <w:rFonts w:cs="Arial"/>
        </w:rPr>
      </w:pPr>
      <w:r w:rsidRPr="00DA7715">
        <w:rPr>
          <w:rFonts w:cs="Arial"/>
        </w:rPr>
        <w:t xml:space="preserve">Tarvetta </w:t>
      </w:r>
      <w:r w:rsidR="00F203FC" w:rsidRPr="00DA7715">
        <w:rPr>
          <w:rFonts w:cs="Arial"/>
        </w:rPr>
        <w:t xml:space="preserve">on </w:t>
      </w:r>
      <w:r w:rsidRPr="00DA7715">
        <w:rPr>
          <w:rFonts w:cs="Arial"/>
        </w:rPr>
        <w:t>o</w:t>
      </w:r>
      <w:r w:rsidR="00533A53" w:rsidRPr="00DA7715">
        <w:rPr>
          <w:rFonts w:cs="Arial"/>
        </w:rPr>
        <w:t>b</w:t>
      </w:r>
      <w:r w:rsidRPr="00DA7715">
        <w:rPr>
          <w:rFonts w:cs="Arial"/>
        </w:rPr>
        <w:t>jektiiviselle ja asialliselle tiedottamiselle</w:t>
      </w:r>
      <w:r w:rsidR="00533A53" w:rsidRPr="00DA7715">
        <w:rPr>
          <w:rFonts w:cs="Arial"/>
        </w:rPr>
        <w:t xml:space="preserve"> luotettavalta taholta. </w:t>
      </w:r>
    </w:p>
    <w:p w14:paraId="05517024" w14:textId="5BF2D3F2" w:rsidR="00533A53" w:rsidRPr="00DA7715" w:rsidRDefault="002055B4" w:rsidP="00C91197">
      <w:pPr>
        <w:spacing w:after="0" w:line="240" w:lineRule="auto"/>
        <w:rPr>
          <w:rFonts w:cs="Arial"/>
        </w:rPr>
      </w:pPr>
      <w:r w:rsidRPr="00DA7715">
        <w:rPr>
          <w:rFonts w:cs="Arial"/>
        </w:rPr>
        <w:t>Turvapaikanhakijoita/</w:t>
      </w:r>
      <w:r w:rsidR="002B68A0" w:rsidRPr="00DA7715">
        <w:rPr>
          <w:rFonts w:cs="Arial"/>
        </w:rPr>
        <w:t xml:space="preserve">asiakkaita pitäisi ohjata enemmän yksityisille toimijoille. </w:t>
      </w:r>
      <w:r w:rsidR="00533A53" w:rsidRPr="00DA7715">
        <w:rPr>
          <w:rFonts w:cs="Arial"/>
        </w:rPr>
        <w:t xml:space="preserve"> </w:t>
      </w:r>
    </w:p>
    <w:p w14:paraId="2047BE84" w14:textId="6720329B" w:rsidR="00533A53" w:rsidRPr="00DA7715" w:rsidRDefault="00533A53" w:rsidP="00C91197">
      <w:pPr>
        <w:spacing w:after="0" w:line="240" w:lineRule="auto"/>
        <w:rPr>
          <w:rFonts w:cs="Arial"/>
        </w:rPr>
      </w:pPr>
      <w:r w:rsidRPr="00DA7715">
        <w:rPr>
          <w:rFonts w:cs="Arial"/>
        </w:rPr>
        <w:t>Pu</w:t>
      </w:r>
      <w:r w:rsidR="0092141B" w:rsidRPr="00DA7715">
        <w:rPr>
          <w:rFonts w:cs="Arial"/>
        </w:rPr>
        <w:t>hutteluavustamisen mahdollisuus. O</w:t>
      </w:r>
      <w:r w:rsidR="002B68A0" w:rsidRPr="00DA7715">
        <w:rPr>
          <w:rFonts w:cs="Arial"/>
        </w:rPr>
        <w:t xml:space="preserve">ikeusavustajat mukaan puhutteluihin, jotta relevantit kysymykset (kuten esim. kidutukseen liittyvät kysymykset) käsitetäisiin puhuttelun aikana. </w:t>
      </w:r>
    </w:p>
    <w:p w14:paraId="7B649296" w14:textId="2FA071C1" w:rsidR="00F94309" w:rsidRPr="00DA7715" w:rsidRDefault="00533A53" w:rsidP="00C91197">
      <w:pPr>
        <w:spacing w:after="0" w:line="240" w:lineRule="auto"/>
        <w:rPr>
          <w:rFonts w:cs="Arial"/>
        </w:rPr>
      </w:pPr>
      <w:r w:rsidRPr="00DA7715">
        <w:rPr>
          <w:rFonts w:cs="Arial"/>
        </w:rPr>
        <w:t xml:space="preserve">Asiakohtaisesta palkkioperusteesta </w:t>
      </w:r>
      <w:r w:rsidR="002055B4" w:rsidRPr="00DA7715">
        <w:rPr>
          <w:rFonts w:cs="Arial"/>
        </w:rPr>
        <w:t>tulisi</w:t>
      </w:r>
      <w:r w:rsidR="002B68A0" w:rsidRPr="00DA7715">
        <w:rPr>
          <w:rFonts w:cs="Arial"/>
        </w:rPr>
        <w:t xml:space="preserve"> luopua. </w:t>
      </w:r>
    </w:p>
    <w:p w14:paraId="6F652863" w14:textId="41908EA2" w:rsidR="00C15462" w:rsidRPr="00DA7715" w:rsidRDefault="00C15462" w:rsidP="00D0495E">
      <w:pPr>
        <w:spacing w:after="120" w:line="240" w:lineRule="auto"/>
        <w:rPr>
          <w:rFonts w:cs="Arial"/>
        </w:rPr>
      </w:pPr>
    </w:p>
    <w:p w14:paraId="4163E338" w14:textId="7C8A2507" w:rsidR="004E730E" w:rsidRPr="00DA7715" w:rsidRDefault="004E730E" w:rsidP="00D0495E">
      <w:pPr>
        <w:spacing w:after="120" w:line="240" w:lineRule="auto"/>
        <w:rPr>
          <w:rFonts w:cs="Arial"/>
          <w:b/>
        </w:rPr>
      </w:pPr>
      <w:r w:rsidRPr="00DA7715">
        <w:rPr>
          <w:rFonts w:cs="Arial"/>
          <w:b/>
        </w:rPr>
        <w:t xml:space="preserve">KOMMENTTIPUHEENVUORO  </w:t>
      </w:r>
    </w:p>
    <w:p w14:paraId="059BBDAF" w14:textId="3AB7138F" w:rsidR="009D117E" w:rsidRPr="00DA7715" w:rsidRDefault="004E730E" w:rsidP="00D0495E">
      <w:pPr>
        <w:spacing w:after="120" w:line="240" w:lineRule="auto"/>
        <w:rPr>
          <w:rFonts w:cs="Arial"/>
          <w:i/>
        </w:rPr>
      </w:pPr>
      <w:r w:rsidRPr="00DA7715">
        <w:rPr>
          <w:rFonts w:cs="Arial"/>
          <w:i/>
        </w:rPr>
        <w:t>Merja Muilu, oikeusapu- ja ulosottoyksikön päällikkö, OM</w:t>
      </w:r>
    </w:p>
    <w:p w14:paraId="1C761CCF" w14:textId="323BA5AB" w:rsidR="009D117E" w:rsidRPr="00DA7715" w:rsidRDefault="009D117E" w:rsidP="009D117E">
      <w:pPr>
        <w:rPr>
          <w:rFonts w:cs="Arial"/>
        </w:rPr>
      </w:pPr>
      <w:r w:rsidRPr="00DA7715">
        <w:rPr>
          <w:rFonts w:cs="Arial"/>
        </w:rPr>
        <w:t xml:space="preserve">Muilu kertoi </w:t>
      </w:r>
      <w:r w:rsidR="00DA7715" w:rsidRPr="00DA7715">
        <w:rPr>
          <w:rFonts w:cs="Arial"/>
        </w:rPr>
        <w:t xml:space="preserve">kommenttipuheenvuorossaan </w:t>
      </w:r>
      <w:r w:rsidRPr="00DA7715">
        <w:rPr>
          <w:rFonts w:cs="Arial"/>
        </w:rPr>
        <w:t xml:space="preserve">oikeusministeriön </w:t>
      </w:r>
      <w:r w:rsidR="00CE2931" w:rsidRPr="00DA7715">
        <w:rPr>
          <w:rFonts w:cs="Arial"/>
        </w:rPr>
        <w:t xml:space="preserve">oikeusapuselvityksestä. </w:t>
      </w:r>
      <w:r w:rsidR="00DA7715" w:rsidRPr="00DA7715">
        <w:rPr>
          <w:rFonts w:cs="Arial"/>
        </w:rPr>
        <w:t xml:space="preserve">Tulevan oikeusapuselvityksen tavoitteena on ottaa osaksi sekä turvapaikanhakijat että oikeusavun saajat yleisesti. Asiakaskyselyn kautta myös selvitettäisiin: </w:t>
      </w:r>
      <w:r w:rsidR="0036007C">
        <w:rPr>
          <w:rFonts w:cs="Arial"/>
        </w:rPr>
        <w:t>m</w:t>
      </w:r>
      <w:r w:rsidR="00DA7715" w:rsidRPr="00DA7715">
        <w:rPr>
          <w:rFonts w:cs="Arial"/>
        </w:rPr>
        <w:t>iten asiakka</w:t>
      </w:r>
      <w:r w:rsidR="0036007C">
        <w:rPr>
          <w:rFonts w:cs="Arial"/>
        </w:rPr>
        <w:t>at saavat tietoa oikeusavusta? o</w:t>
      </w:r>
      <w:r w:rsidR="00DA7715" w:rsidRPr="00DA7715">
        <w:rPr>
          <w:rFonts w:cs="Arial"/>
        </w:rPr>
        <w:t xml:space="preserve">vatko </w:t>
      </w:r>
      <w:r w:rsidR="0036007C">
        <w:rPr>
          <w:rFonts w:cs="Arial"/>
        </w:rPr>
        <w:t>asiakkaat saaneet</w:t>
      </w:r>
      <w:r w:rsidR="00DA7715" w:rsidRPr="00DA7715">
        <w:rPr>
          <w:rFonts w:cs="Arial"/>
        </w:rPr>
        <w:t xml:space="preserve"> sitä palvelua</w:t>
      </w:r>
      <w:r w:rsidR="0036007C">
        <w:rPr>
          <w:rFonts w:cs="Arial"/>
        </w:rPr>
        <w:t>,</w:t>
      </w:r>
      <w:r w:rsidR="00DA7715" w:rsidRPr="00DA7715">
        <w:rPr>
          <w:rFonts w:cs="Arial"/>
        </w:rPr>
        <w:t xml:space="preserve"> mitä tarvitsevat?</w:t>
      </w:r>
    </w:p>
    <w:p w14:paraId="2C9179D1" w14:textId="774655B2" w:rsidR="00B406B1" w:rsidRPr="00D0495E" w:rsidRDefault="00DA7715" w:rsidP="00D0495E">
      <w:pPr>
        <w:rPr>
          <w:rFonts w:cs="Arial"/>
        </w:rPr>
      </w:pPr>
      <w:r w:rsidRPr="00DA7715">
        <w:rPr>
          <w:rFonts w:cs="Arial"/>
        </w:rPr>
        <w:t xml:space="preserve">Selvitystä lähdetään toteuttamaan vuonna 2018 kilpailutuksen jälkeen. </w:t>
      </w:r>
    </w:p>
    <w:sectPr w:rsidR="00B406B1" w:rsidRPr="00D0495E" w:rsidSect="00C05093">
      <w:footerReference w:type="default" r:id="rId7"/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D7DB0" w14:textId="77777777" w:rsidR="003E5B81" w:rsidRDefault="003E5B81" w:rsidP="00C85FCC">
      <w:pPr>
        <w:spacing w:after="0" w:line="240" w:lineRule="auto"/>
      </w:pPr>
      <w:r>
        <w:separator/>
      </w:r>
    </w:p>
  </w:endnote>
  <w:endnote w:type="continuationSeparator" w:id="0">
    <w:p w14:paraId="3C72A565" w14:textId="77777777" w:rsidR="003E5B81" w:rsidRDefault="003E5B81" w:rsidP="00C8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0176182"/>
      <w:docPartObj>
        <w:docPartGallery w:val="Page Numbers (Bottom of Page)"/>
        <w:docPartUnique/>
      </w:docPartObj>
    </w:sdtPr>
    <w:sdtEndPr/>
    <w:sdtContent>
      <w:p w14:paraId="3714AD0E" w14:textId="3A363904" w:rsidR="003E5B81" w:rsidRDefault="003E5B81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A02" w:rsidRPr="00095A02">
          <w:rPr>
            <w:noProof/>
            <w:lang w:val="sv-SE"/>
          </w:rPr>
          <w:t>1</w:t>
        </w:r>
        <w:r>
          <w:fldChar w:fldCharType="end"/>
        </w:r>
      </w:p>
    </w:sdtContent>
  </w:sdt>
  <w:p w14:paraId="2F3FC70E" w14:textId="77777777" w:rsidR="003E5B81" w:rsidRDefault="003E5B8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4F964" w14:textId="77777777" w:rsidR="003E5B81" w:rsidRDefault="003E5B81" w:rsidP="00C85FCC">
      <w:pPr>
        <w:spacing w:after="0" w:line="240" w:lineRule="auto"/>
      </w:pPr>
      <w:r>
        <w:separator/>
      </w:r>
    </w:p>
  </w:footnote>
  <w:footnote w:type="continuationSeparator" w:id="0">
    <w:p w14:paraId="0DC336A8" w14:textId="77777777" w:rsidR="003E5B81" w:rsidRDefault="003E5B81" w:rsidP="00C85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426FA"/>
    <w:multiLevelType w:val="hybridMultilevel"/>
    <w:tmpl w:val="739E0990"/>
    <w:lvl w:ilvl="0" w:tplc="2278B8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E2C8E"/>
    <w:multiLevelType w:val="hybridMultilevel"/>
    <w:tmpl w:val="D75A354A"/>
    <w:lvl w:ilvl="0" w:tplc="3C0023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F74A1"/>
    <w:multiLevelType w:val="hybridMultilevel"/>
    <w:tmpl w:val="33EC6C86"/>
    <w:lvl w:ilvl="0" w:tplc="D68680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3AEB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B85E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E4C3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78B8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62D9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5E44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409A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4C0A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89B4B01"/>
    <w:multiLevelType w:val="hybridMultilevel"/>
    <w:tmpl w:val="6B9A9478"/>
    <w:lvl w:ilvl="0" w:tplc="FB4639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C1946"/>
    <w:multiLevelType w:val="hybridMultilevel"/>
    <w:tmpl w:val="D2F471BC"/>
    <w:lvl w:ilvl="0" w:tplc="BD585E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2C"/>
    <w:rsid w:val="00072139"/>
    <w:rsid w:val="00075345"/>
    <w:rsid w:val="00095A02"/>
    <w:rsid w:val="000E4224"/>
    <w:rsid w:val="00125E25"/>
    <w:rsid w:val="001A33EA"/>
    <w:rsid w:val="001C1342"/>
    <w:rsid w:val="001C4FD6"/>
    <w:rsid w:val="001F5E10"/>
    <w:rsid w:val="002055B4"/>
    <w:rsid w:val="00214F9B"/>
    <w:rsid w:val="00217212"/>
    <w:rsid w:val="002325C0"/>
    <w:rsid w:val="002609A6"/>
    <w:rsid w:val="002817C1"/>
    <w:rsid w:val="002837BC"/>
    <w:rsid w:val="002B68A0"/>
    <w:rsid w:val="00321DDD"/>
    <w:rsid w:val="0036007C"/>
    <w:rsid w:val="0036636B"/>
    <w:rsid w:val="003C2C57"/>
    <w:rsid w:val="003C4564"/>
    <w:rsid w:val="003E5B81"/>
    <w:rsid w:val="00445017"/>
    <w:rsid w:val="00471155"/>
    <w:rsid w:val="004909E6"/>
    <w:rsid w:val="004D014D"/>
    <w:rsid w:val="004E730E"/>
    <w:rsid w:val="00512F34"/>
    <w:rsid w:val="00533A53"/>
    <w:rsid w:val="005460E3"/>
    <w:rsid w:val="00546B80"/>
    <w:rsid w:val="00566F2C"/>
    <w:rsid w:val="005852B3"/>
    <w:rsid w:val="006919AE"/>
    <w:rsid w:val="006A2923"/>
    <w:rsid w:val="006C7A80"/>
    <w:rsid w:val="006F1FB1"/>
    <w:rsid w:val="0075409D"/>
    <w:rsid w:val="007647A6"/>
    <w:rsid w:val="007C596E"/>
    <w:rsid w:val="007F2FA0"/>
    <w:rsid w:val="008832E4"/>
    <w:rsid w:val="00887235"/>
    <w:rsid w:val="008935C7"/>
    <w:rsid w:val="008B07B3"/>
    <w:rsid w:val="008D560A"/>
    <w:rsid w:val="008D5D67"/>
    <w:rsid w:val="00905296"/>
    <w:rsid w:val="0090615E"/>
    <w:rsid w:val="00916549"/>
    <w:rsid w:val="0092141B"/>
    <w:rsid w:val="00954C62"/>
    <w:rsid w:val="009D117E"/>
    <w:rsid w:val="009E206F"/>
    <w:rsid w:val="009E3F5D"/>
    <w:rsid w:val="00A5687A"/>
    <w:rsid w:val="00A7328B"/>
    <w:rsid w:val="00A954A0"/>
    <w:rsid w:val="00AB1E63"/>
    <w:rsid w:val="00AB6909"/>
    <w:rsid w:val="00B406B1"/>
    <w:rsid w:val="00B449A7"/>
    <w:rsid w:val="00B57DC1"/>
    <w:rsid w:val="00B873E3"/>
    <w:rsid w:val="00BA2E7C"/>
    <w:rsid w:val="00BB7901"/>
    <w:rsid w:val="00BF1664"/>
    <w:rsid w:val="00C05093"/>
    <w:rsid w:val="00C15462"/>
    <w:rsid w:val="00C46BE6"/>
    <w:rsid w:val="00C6539B"/>
    <w:rsid w:val="00C85FCC"/>
    <w:rsid w:val="00C91197"/>
    <w:rsid w:val="00CA1089"/>
    <w:rsid w:val="00CA540C"/>
    <w:rsid w:val="00CB570E"/>
    <w:rsid w:val="00CE2931"/>
    <w:rsid w:val="00D0495E"/>
    <w:rsid w:val="00D2733F"/>
    <w:rsid w:val="00D6798A"/>
    <w:rsid w:val="00D86285"/>
    <w:rsid w:val="00D91747"/>
    <w:rsid w:val="00DA7715"/>
    <w:rsid w:val="00DC5B43"/>
    <w:rsid w:val="00E25953"/>
    <w:rsid w:val="00E616EA"/>
    <w:rsid w:val="00EB439E"/>
    <w:rsid w:val="00EC631D"/>
    <w:rsid w:val="00EC6E70"/>
    <w:rsid w:val="00EF246C"/>
    <w:rsid w:val="00F203FC"/>
    <w:rsid w:val="00F86E00"/>
    <w:rsid w:val="00F94309"/>
    <w:rsid w:val="00FA3B93"/>
    <w:rsid w:val="00FA6D0F"/>
    <w:rsid w:val="00FB3024"/>
    <w:rsid w:val="00FE21CB"/>
    <w:rsid w:val="00FE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7733"/>
  <w15:chartTrackingRefBased/>
  <w15:docId w15:val="{7076060E-BC81-494F-9875-4909379F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66F2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66F2C"/>
    <w:pPr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C85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85FCC"/>
  </w:style>
  <w:style w:type="paragraph" w:styleId="Alatunniste">
    <w:name w:val="footer"/>
    <w:basedOn w:val="Normaali"/>
    <w:link w:val="AlatunnisteChar"/>
    <w:uiPriority w:val="99"/>
    <w:unhideWhenUsed/>
    <w:rsid w:val="00C85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85FCC"/>
  </w:style>
  <w:style w:type="character" w:styleId="Kommentinviite">
    <w:name w:val="annotation reference"/>
    <w:basedOn w:val="Kappaleenoletusfontti"/>
    <w:uiPriority w:val="99"/>
    <w:semiHidden/>
    <w:unhideWhenUsed/>
    <w:rsid w:val="00214F9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14F9B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14F9B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14F9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14F9B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1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14F9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D56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81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5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56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8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1320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Eduskunta</Company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Hannuksela Emilia</dc:creator>
  <cp:keywords/>
  <dc:description/>
  <cp:lastModifiedBy>Hannuksela Emilia</cp:lastModifiedBy>
  <cp:revision>2</cp:revision>
  <cp:lastPrinted>2017-09-25T10:13:00Z</cp:lastPrinted>
  <dcterms:created xsi:type="dcterms:W3CDTF">2017-10-10T07:44:00Z</dcterms:created>
  <dcterms:modified xsi:type="dcterms:W3CDTF">2017-10-10T07:44:00Z</dcterms:modified>
</cp:coreProperties>
</file>