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4CB0D" w14:textId="2020535C" w:rsidR="00CC0E66" w:rsidRPr="00CC0E66" w:rsidRDefault="00CC0E66" w:rsidP="00CC0E66">
      <w:pPr>
        <w:rPr>
          <w:rFonts w:ascii="Arial" w:hAnsi="Arial" w:cs="Arial"/>
          <w:b/>
          <w:bCs/>
          <w:color w:val="E54311"/>
        </w:rPr>
      </w:pPr>
      <w:r w:rsidRPr="00CC0E66">
        <w:rPr>
          <w:rFonts w:ascii="Arial" w:hAnsi="Arial" w:cs="Arial"/>
          <w:b/>
          <w:bCs/>
          <w:color w:val="E54311"/>
        </w:rPr>
        <w:t>Euroopan sosiaalisten oikeuksien komitean Suome</w:t>
      </w:r>
      <w:r w:rsidR="005A5B1E">
        <w:rPr>
          <w:rFonts w:ascii="Arial" w:hAnsi="Arial" w:cs="Arial"/>
          <w:b/>
          <w:bCs/>
          <w:color w:val="E54311"/>
        </w:rPr>
        <w:t>a</w:t>
      </w:r>
      <w:r w:rsidRPr="00CC0E66">
        <w:rPr>
          <w:rFonts w:ascii="Arial" w:hAnsi="Arial" w:cs="Arial"/>
          <w:b/>
          <w:bCs/>
          <w:color w:val="E54311"/>
        </w:rPr>
        <w:t xml:space="preserve"> koskevat ratkaisut, jotka odottavat täytäntöönpanoa – </w:t>
      </w:r>
      <w:r w:rsidR="00473F43">
        <w:rPr>
          <w:rFonts w:ascii="Arial" w:hAnsi="Arial" w:cs="Arial"/>
          <w:b/>
          <w:bCs/>
          <w:color w:val="E54311"/>
        </w:rPr>
        <w:t>8</w:t>
      </w:r>
      <w:r w:rsidRPr="00CC0E66">
        <w:rPr>
          <w:rFonts w:ascii="Arial" w:hAnsi="Arial" w:cs="Arial"/>
          <w:b/>
          <w:bCs/>
          <w:color w:val="E54311"/>
        </w:rPr>
        <w:t xml:space="preserve"> kpl (</w:t>
      </w:r>
      <w:r w:rsidR="0028681C">
        <w:rPr>
          <w:rFonts w:ascii="Arial" w:hAnsi="Arial" w:cs="Arial"/>
          <w:b/>
          <w:bCs/>
          <w:color w:val="E54311"/>
        </w:rPr>
        <w:t>28</w:t>
      </w:r>
      <w:r w:rsidRPr="00CC0E66">
        <w:rPr>
          <w:rFonts w:ascii="Arial" w:hAnsi="Arial" w:cs="Arial"/>
          <w:b/>
          <w:bCs/>
          <w:color w:val="E54311"/>
        </w:rPr>
        <w:t>.</w:t>
      </w:r>
      <w:r w:rsidR="0028681C">
        <w:rPr>
          <w:rFonts w:ascii="Arial" w:hAnsi="Arial" w:cs="Arial"/>
          <w:b/>
          <w:bCs/>
          <w:color w:val="E54311"/>
        </w:rPr>
        <w:t>3</w:t>
      </w:r>
      <w:r w:rsidRPr="00CC0E66">
        <w:rPr>
          <w:rFonts w:ascii="Arial" w:hAnsi="Arial" w:cs="Arial"/>
          <w:b/>
          <w:bCs/>
          <w:color w:val="E54311"/>
        </w:rPr>
        <w:t>.202</w:t>
      </w:r>
      <w:r w:rsidR="00473F43">
        <w:rPr>
          <w:rFonts w:ascii="Arial" w:hAnsi="Arial" w:cs="Arial"/>
          <w:b/>
          <w:bCs/>
          <w:color w:val="E54311"/>
        </w:rPr>
        <w:t>4</w:t>
      </w:r>
      <w:r w:rsidRPr="00CC0E66">
        <w:rPr>
          <w:rFonts w:ascii="Arial" w:hAnsi="Arial" w:cs="Arial"/>
          <w:b/>
          <w:bCs/>
          <w:color w:val="E54311"/>
        </w:rPr>
        <w:t>)</w:t>
      </w:r>
      <w:r w:rsidR="009239F1">
        <w:rPr>
          <w:rStyle w:val="Alaviitteenviite"/>
          <w:rFonts w:ascii="Arial" w:hAnsi="Arial" w:cs="Arial"/>
          <w:b/>
          <w:bCs/>
          <w:color w:val="E54311"/>
        </w:rPr>
        <w:footnoteReference w:id="1"/>
      </w:r>
    </w:p>
    <w:p w14:paraId="271371E4" w14:textId="755D09A9" w:rsidR="00C77870" w:rsidRPr="00C77870" w:rsidRDefault="00C77870" w:rsidP="00CC0E66">
      <w:pPr>
        <w:rPr>
          <w:rFonts w:ascii="Arial" w:hAnsi="Arial" w:cs="Arial"/>
          <w:b/>
          <w:bCs/>
          <w:color w:val="E54311"/>
        </w:rPr>
      </w:pPr>
    </w:p>
    <w:tbl>
      <w:tblPr>
        <w:tblStyle w:val="TaulukkoRuudukko"/>
        <w:tblpPr w:leftFromText="141" w:rightFromText="141" w:vertAnchor="text" w:tblpY="1"/>
        <w:tblOverlap w:val="never"/>
        <w:tblW w:w="0" w:type="auto"/>
        <w:tblLook w:val="04A0" w:firstRow="1" w:lastRow="0" w:firstColumn="1" w:lastColumn="0" w:noHBand="0" w:noVBand="1"/>
      </w:tblPr>
      <w:tblGrid>
        <w:gridCol w:w="2689"/>
        <w:gridCol w:w="1134"/>
        <w:gridCol w:w="1984"/>
        <w:gridCol w:w="4394"/>
        <w:gridCol w:w="3793"/>
      </w:tblGrid>
      <w:tr w:rsidR="008005DC" w:rsidRPr="0074469A" w14:paraId="10BD0BF7" w14:textId="77777777" w:rsidTr="008005DC">
        <w:trPr>
          <w:tblHeader/>
        </w:trPr>
        <w:tc>
          <w:tcPr>
            <w:tcW w:w="2689" w:type="dxa"/>
          </w:tcPr>
          <w:p w14:paraId="115ABD8F" w14:textId="77777777" w:rsidR="00CC0E66" w:rsidRPr="00CC0E66" w:rsidRDefault="00CC0E66" w:rsidP="006B3BFC">
            <w:pPr>
              <w:rPr>
                <w:rFonts w:ascii="Arial" w:hAnsi="Arial" w:cs="Arial"/>
                <w:b/>
                <w:bCs/>
                <w:sz w:val="18"/>
                <w:szCs w:val="18"/>
              </w:rPr>
            </w:pPr>
            <w:r w:rsidRPr="00CC0E66">
              <w:rPr>
                <w:rFonts w:ascii="Arial" w:hAnsi="Arial" w:cs="Arial"/>
                <w:b/>
                <w:bCs/>
                <w:sz w:val="18"/>
                <w:szCs w:val="18"/>
              </w:rPr>
              <w:t>Tapaus</w:t>
            </w:r>
          </w:p>
        </w:tc>
        <w:tc>
          <w:tcPr>
            <w:tcW w:w="1134" w:type="dxa"/>
          </w:tcPr>
          <w:p w14:paraId="6126D9B5" w14:textId="77777777" w:rsidR="00CC0E66" w:rsidRPr="00CC0E66" w:rsidRDefault="00CC0E66" w:rsidP="006B3BFC">
            <w:pPr>
              <w:rPr>
                <w:rFonts w:ascii="Arial" w:hAnsi="Arial" w:cs="Arial"/>
                <w:b/>
                <w:bCs/>
                <w:sz w:val="18"/>
                <w:szCs w:val="18"/>
              </w:rPr>
            </w:pPr>
            <w:r w:rsidRPr="00CC0E66">
              <w:rPr>
                <w:rFonts w:ascii="Arial" w:hAnsi="Arial" w:cs="Arial"/>
                <w:b/>
                <w:bCs/>
                <w:sz w:val="18"/>
                <w:szCs w:val="18"/>
              </w:rPr>
              <w:t>Ratkaisu annettu</w:t>
            </w:r>
          </w:p>
        </w:tc>
        <w:tc>
          <w:tcPr>
            <w:tcW w:w="1984" w:type="dxa"/>
          </w:tcPr>
          <w:p w14:paraId="2A7AEEE3" w14:textId="77777777" w:rsidR="00CC0E66" w:rsidRPr="00CC0E66" w:rsidRDefault="00CC0E66" w:rsidP="006B3BFC">
            <w:pPr>
              <w:rPr>
                <w:rFonts w:ascii="Arial" w:hAnsi="Arial" w:cs="Arial"/>
                <w:b/>
                <w:bCs/>
                <w:sz w:val="18"/>
                <w:szCs w:val="18"/>
              </w:rPr>
            </w:pPr>
            <w:r w:rsidRPr="00CC0E66">
              <w:rPr>
                <w:rFonts w:ascii="Arial" w:hAnsi="Arial" w:cs="Arial"/>
                <w:b/>
                <w:bCs/>
                <w:sz w:val="18"/>
                <w:szCs w:val="18"/>
              </w:rPr>
              <w:t>Tilanne</w:t>
            </w:r>
          </w:p>
        </w:tc>
        <w:tc>
          <w:tcPr>
            <w:tcW w:w="4394" w:type="dxa"/>
          </w:tcPr>
          <w:p w14:paraId="492B5727" w14:textId="77777777" w:rsidR="00CC0E66" w:rsidRPr="00CC0E66" w:rsidRDefault="00CC0E66" w:rsidP="006B3BFC">
            <w:pPr>
              <w:rPr>
                <w:rFonts w:ascii="Arial" w:hAnsi="Arial" w:cs="Arial"/>
                <w:b/>
                <w:bCs/>
                <w:sz w:val="18"/>
                <w:szCs w:val="18"/>
              </w:rPr>
            </w:pPr>
            <w:r w:rsidRPr="00CC0E66">
              <w:rPr>
                <w:rFonts w:ascii="Arial" w:hAnsi="Arial" w:cs="Arial"/>
                <w:b/>
                <w:bCs/>
                <w:sz w:val="18"/>
                <w:szCs w:val="18"/>
              </w:rPr>
              <w:t>Rikkomus ja sisältö</w:t>
            </w:r>
          </w:p>
        </w:tc>
        <w:tc>
          <w:tcPr>
            <w:tcW w:w="3793" w:type="dxa"/>
          </w:tcPr>
          <w:p w14:paraId="1EBB4119" w14:textId="77777777" w:rsidR="00CC0E66" w:rsidRPr="00CC0E66" w:rsidRDefault="00CC0E66" w:rsidP="006B3BFC">
            <w:pPr>
              <w:rPr>
                <w:rFonts w:ascii="Arial" w:hAnsi="Arial" w:cs="Arial"/>
                <w:b/>
                <w:bCs/>
                <w:sz w:val="18"/>
                <w:szCs w:val="18"/>
              </w:rPr>
            </w:pPr>
            <w:r w:rsidRPr="00CC0E66">
              <w:rPr>
                <w:rFonts w:ascii="Arial" w:hAnsi="Arial" w:cs="Arial"/>
                <w:b/>
                <w:bCs/>
                <w:sz w:val="18"/>
                <w:szCs w:val="18"/>
              </w:rPr>
              <w:t>Toimenpiteet</w:t>
            </w:r>
          </w:p>
        </w:tc>
      </w:tr>
      <w:tr w:rsidR="008005DC" w:rsidRPr="0074469A" w14:paraId="7863AF09" w14:textId="77777777" w:rsidTr="008005DC">
        <w:tc>
          <w:tcPr>
            <w:tcW w:w="2689" w:type="dxa"/>
          </w:tcPr>
          <w:p w14:paraId="3F80B8D4" w14:textId="77777777" w:rsidR="00CC0E66" w:rsidRPr="0074469A" w:rsidRDefault="00CC0E66" w:rsidP="006B3BFC">
            <w:pPr>
              <w:rPr>
                <w:rFonts w:ascii="Arial" w:hAnsi="Arial" w:cs="Arial"/>
                <w:sz w:val="18"/>
                <w:szCs w:val="18"/>
                <w:lang w:val="en-US"/>
              </w:rPr>
            </w:pPr>
            <w:r w:rsidRPr="0074469A">
              <w:rPr>
                <w:rFonts w:ascii="Arial" w:hAnsi="Arial" w:cs="Arial"/>
                <w:b/>
                <w:bCs/>
                <w:sz w:val="18"/>
                <w:szCs w:val="18"/>
                <w:lang w:val="en-US"/>
              </w:rPr>
              <w:t xml:space="preserve">Association of Care Giving Relatives and Friends v. Finland </w:t>
            </w:r>
            <w:r w:rsidRPr="0074469A">
              <w:rPr>
                <w:rFonts w:ascii="Arial" w:hAnsi="Arial" w:cs="Arial"/>
                <w:sz w:val="18"/>
                <w:szCs w:val="18"/>
                <w:lang w:val="en-US"/>
              </w:rPr>
              <w:t>(</w:t>
            </w:r>
            <w:hyperlink r:id="rId7" w:history="1">
              <w:r w:rsidRPr="0074469A">
                <w:rPr>
                  <w:rStyle w:val="Hyperlinkki"/>
                  <w:rFonts w:ascii="Arial" w:hAnsi="Arial" w:cs="Arial"/>
                  <w:sz w:val="18"/>
                  <w:szCs w:val="18"/>
                  <w:lang w:val="en-US"/>
                </w:rPr>
                <w:t>valitus nro. 70/2011</w:t>
              </w:r>
            </w:hyperlink>
            <w:r w:rsidRPr="0074469A">
              <w:rPr>
                <w:rFonts w:ascii="Arial" w:hAnsi="Arial" w:cs="Arial"/>
                <w:sz w:val="18"/>
                <w:szCs w:val="18"/>
                <w:lang w:val="en-US"/>
              </w:rPr>
              <w:t>)</w:t>
            </w:r>
          </w:p>
          <w:p w14:paraId="483F7C66" w14:textId="77777777" w:rsidR="00CC0E66" w:rsidRPr="0074469A" w:rsidRDefault="00CC0E66" w:rsidP="006B3BFC">
            <w:pPr>
              <w:rPr>
                <w:rFonts w:ascii="Arial" w:hAnsi="Arial" w:cs="Arial"/>
                <w:sz w:val="18"/>
                <w:szCs w:val="18"/>
                <w:lang w:val="en-US"/>
              </w:rPr>
            </w:pPr>
          </w:p>
          <w:p w14:paraId="469437A9" w14:textId="76C4F79E" w:rsidR="00CC0E66" w:rsidRPr="0074469A" w:rsidRDefault="00FA350F" w:rsidP="006B3BFC">
            <w:pPr>
              <w:rPr>
                <w:rFonts w:ascii="Arial" w:hAnsi="Arial" w:cs="Arial"/>
                <w:sz w:val="18"/>
                <w:szCs w:val="18"/>
              </w:rPr>
            </w:pPr>
            <w:r w:rsidRPr="0074469A">
              <w:rPr>
                <w:rFonts w:ascii="Arial" w:hAnsi="Arial" w:cs="Arial"/>
                <w:sz w:val="18"/>
                <w:szCs w:val="18"/>
              </w:rPr>
              <w:t xml:space="preserve">-sos. komitean </w:t>
            </w:r>
            <w:r>
              <w:rPr>
                <w:rFonts w:ascii="Arial" w:hAnsi="Arial" w:cs="Arial"/>
                <w:sz w:val="18"/>
                <w:szCs w:val="18"/>
              </w:rPr>
              <w:t>4</w:t>
            </w:r>
            <w:r w:rsidRPr="0074469A">
              <w:rPr>
                <w:rFonts w:ascii="Arial" w:hAnsi="Arial" w:cs="Arial"/>
                <w:sz w:val="18"/>
                <w:szCs w:val="18"/>
              </w:rPr>
              <w:t>. arviointi edistyksestä vuodelta 202</w:t>
            </w:r>
            <w:r>
              <w:rPr>
                <w:rFonts w:ascii="Arial" w:hAnsi="Arial" w:cs="Arial"/>
                <w:sz w:val="18"/>
                <w:szCs w:val="18"/>
              </w:rPr>
              <w:t>3</w:t>
            </w:r>
          </w:p>
        </w:tc>
        <w:tc>
          <w:tcPr>
            <w:tcW w:w="1134" w:type="dxa"/>
          </w:tcPr>
          <w:p w14:paraId="3F2829BC" w14:textId="77777777" w:rsidR="00CC0E66" w:rsidRPr="0074469A" w:rsidRDefault="00CC0E66" w:rsidP="006B3BFC">
            <w:pPr>
              <w:rPr>
                <w:rFonts w:ascii="Arial" w:hAnsi="Arial" w:cs="Arial"/>
                <w:sz w:val="18"/>
                <w:szCs w:val="18"/>
                <w:lang w:val="en-US"/>
              </w:rPr>
            </w:pPr>
            <w:r w:rsidRPr="0074469A">
              <w:rPr>
                <w:rFonts w:ascii="Arial" w:hAnsi="Arial" w:cs="Arial"/>
                <w:sz w:val="18"/>
                <w:szCs w:val="18"/>
                <w:lang w:val="en-US"/>
              </w:rPr>
              <w:t>4.12.2012</w:t>
            </w:r>
          </w:p>
        </w:tc>
        <w:tc>
          <w:tcPr>
            <w:tcW w:w="1984" w:type="dxa"/>
          </w:tcPr>
          <w:p w14:paraId="02D5D4E3" w14:textId="77777777" w:rsidR="00CC0E66" w:rsidRPr="0074469A" w:rsidRDefault="00CC0E66" w:rsidP="006B3BFC">
            <w:pPr>
              <w:rPr>
                <w:rFonts w:ascii="Arial" w:hAnsi="Arial" w:cs="Arial"/>
                <w:sz w:val="18"/>
                <w:szCs w:val="18"/>
              </w:rPr>
            </w:pPr>
            <w:r w:rsidRPr="0074469A">
              <w:rPr>
                <w:rFonts w:ascii="Arial" w:hAnsi="Arial" w:cs="Arial"/>
                <w:sz w:val="18"/>
                <w:szCs w:val="18"/>
              </w:rPr>
              <w:t>Sosiaalisten oikeuksien komitea todennut rikkomuksen ja korjaamisessa on tapahtunut kehitystä, mutta rikkomusta ei ole vielä korjattu.</w:t>
            </w:r>
          </w:p>
          <w:p w14:paraId="6054B5CB" w14:textId="77777777" w:rsidR="00CC0E66" w:rsidRPr="0074469A" w:rsidRDefault="00CC0E66" w:rsidP="006B3BFC">
            <w:pPr>
              <w:rPr>
                <w:rFonts w:ascii="Arial" w:hAnsi="Arial" w:cs="Arial"/>
                <w:sz w:val="18"/>
                <w:szCs w:val="18"/>
              </w:rPr>
            </w:pPr>
          </w:p>
          <w:p w14:paraId="2CCF28D5" w14:textId="77777777" w:rsidR="00CC0E66" w:rsidRPr="0074469A" w:rsidRDefault="00CC0E66" w:rsidP="006B3BFC">
            <w:pPr>
              <w:rPr>
                <w:rFonts w:ascii="Arial" w:hAnsi="Arial" w:cs="Arial"/>
                <w:sz w:val="18"/>
                <w:szCs w:val="18"/>
              </w:rPr>
            </w:pPr>
          </w:p>
        </w:tc>
        <w:tc>
          <w:tcPr>
            <w:tcW w:w="4394" w:type="dxa"/>
          </w:tcPr>
          <w:p w14:paraId="1972E987" w14:textId="77777777" w:rsidR="00CC0E66" w:rsidRDefault="00CC0E66" w:rsidP="006B3BFC">
            <w:pPr>
              <w:rPr>
                <w:rFonts w:ascii="Arial" w:hAnsi="Arial" w:cs="Arial"/>
                <w:sz w:val="18"/>
                <w:szCs w:val="18"/>
              </w:rPr>
            </w:pPr>
            <w:r w:rsidRPr="0074469A">
              <w:rPr>
                <w:rFonts w:ascii="Arial" w:hAnsi="Arial" w:cs="Arial"/>
                <w:sz w:val="18"/>
                <w:szCs w:val="18"/>
              </w:rPr>
              <w:t xml:space="preserve">Komitea totesi </w:t>
            </w:r>
            <w:r w:rsidRPr="0074469A">
              <w:rPr>
                <w:rFonts w:ascii="Arial" w:hAnsi="Arial" w:cs="Arial"/>
                <w:b/>
                <w:bCs/>
                <w:sz w:val="18"/>
                <w:szCs w:val="18"/>
              </w:rPr>
              <w:t>artiklan 23</w:t>
            </w:r>
            <w:r w:rsidRPr="0074469A">
              <w:rPr>
                <w:rFonts w:ascii="Arial" w:hAnsi="Arial" w:cs="Arial"/>
                <w:sz w:val="18"/>
                <w:szCs w:val="18"/>
              </w:rPr>
              <w:t xml:space="preserve"> rikkomuksen, koska lainsäädäntö mahdollisti käytäntöjä, joiden perusteella monet iäkkäät omaishoitajat jäivät kunnissa ilman heille kuuluvia tukia ja tukitoimia. Vaikka uudistuksia on sen jälkeen tapahtunut omaishoitajien lakisääteisten vapaiden ja tukien sekä muiden tukitoimien osalta, tilanne ei vieläkään ole täysin korjaantunut. Kuntien harkintavalta ja selkeän velvollisuuden puuttuminen tukien maksamisessa mahdollistaa edelleen ongelmatilanteita.</w:t>
            </w:r>
          </w:p>
          <w:p w14:paraId="225E3611" w14:textId="77777777" w:rsidR="007E24E5" w:rsidRPr="0074469A" w:rsidRDefault="007E24E5" w:rsidP="006B3BFC">
            <w:pPr>
              <w:rPr>
                <w:rFonts w:ascii="Arial" w:hAnsi="Arial" w:cs="Arial"/>
                <w:sz w:val="18"/>
                <w:szCs w:val="18"/>
              </w:rPr>
            </w:pPr>
          </w:p>
        </w:tc>
        <w:tc>
          <w:tcPr>
            <w:tcW w:w="3793" w:type="dxa"/>
          </w:tcPr>
          <w:p w14:paraId="134CF6FB" w14:textId="77777777" w:rsidR="00CC0E66" w:rsidRPr="00F348D6" w:rsidRDefault="00CC0E66" w:rsidP="006B3BFC">
            <w:pPr>
              <w:rPr>
                <w:rFonts w:ascii="Arial" w:hAnsi="Arial" w:cs="Arial"/>
                <w:sz w:val="18"/>
                <w:szCs w:val="18"/>
              </w:rPr>
            </w:pPr>
            <w:r>
              <w:rPr>
                <w:rFonts w:ascii="Arial" w:hAnsi="Arial" w:cs="Arial"/>
                <w:sz w:val="18"/>
                <w:szCs w:val="18"/>
              </w:rPr>
              <w:t>Komitea on</w:t>
            </w:r>
            <w:r w:rsidRPr="00F348D6">
              <w:rPr>
                <w:rFonts w:ascii="Arial" w:hAnsi="Arial" w:cs="Arial"/>
                <w:sz w:val="18"/>
                <w:szCs w:val="18"/>
              </w:rPr>
              <w:t xml:space="preserve"> pyytä</w:t>
            </w:r>
            <w:r>
              <w:rPr>
                <w:rFonts w:ascii="Arial" w:hAnsi="Arial" w:cs="Arial"/>
                <w:sz w:val="18"/>
                <w:szCs w:val="18"/>
              </w:rPr>
              <w:t>nyt</w:t>
            </w:r>
            <w:r w:rsidRPr="00F348D6">
              <w:rPr>
                <w:rFonts w:ascii="Arial" w:hAnsi="Arial" w:cs="Arial"/>
                <w:sz w:val="18"/>
                <w:szCs w:val="18"/>
              </w:rPr>
              <w:t xml:space="preserve"> hallitusta toimittamaan tietoja tuen myöntämisen alueellisista kriteereistä ja käytettävissä olevan hoitotuen määrästä sekä tiedot omaishoidon tuen saajien osuudesta. </w:t>
            </w:r>
            <w:r>
              <w:rPr>
                <w:rFonts w:ascii="Arial" w:hAnsi="Arial" w:cs="Arial"/>
                <w:sz w:val="18"/>
                <w:szCs w:val="18"/>
              </w:rPr>
              <w:t>Komitea on</w:t>
            </w:r>
            <w:r w:rsidRPr="00F348D6">
              <w:rPr>
                <w:rFonts w:ascii="Arial" w:hAnsi="Arial" w:cs="Arial"/>
                <w:sz w:val="18"/>
                <w:szCs w:val="18"/>
              </w:rPr>
              <w:t xml:space="preserve"> pyytä</w:t>
            </w:r>
            <w:r>
              <w:rPr>
                <w:rFonts w:ascii="Arial" w:hAnsi="Arial" w:cs="Arial"/>
                <w:sz w:val="18"/>
                <w:szCs w:val="18"/>
              </w:rPr>
              <w:t>nyt</w:t>
            </w:r>
            <w:r w:rsidRPr="00F348D6">
              <w:rPr>
                <w:rFonts w:ascii="Arial" w:hAnsi="Arial" w:cs="Arial"/>
                <w:sz w:val="18"/>
                <w:szCs w:val="18"/>
              </w:rPr>
              <w:t xml:space="preserve"> edelleen hallitusta toimittamaan tiedot omaishoidon kehittämistoimenpiteiden rahoituksesta ja sisällöstä vuosina 2021–2023, joista hallituksen esityksen mukaan olisi pitänyt päättää vuonna 2020</w:t>
            </w:r>
            <w:r>
              <w:rPr>
                <w:rFonts w:ascii="Arial" w:hAnsi="Arial" w:cs="Arial"/>
                <w:sz w:val="18"/>
                <w:szCs w:val="18"/>
              </w:rPr>
              <w:t>.</w:t>
            </w:r>
          </w:p>
          <w:p w14:paraId="0AABB5A2" w14:textId="77777777" w:rsidR="00CC0E66" w:rsidRPr="0074469A" w:rsidRDefault="00CC0E66" w:rsidP="006B3BFC">
            <w:pPr>
              <w:rPr>
                <w:rFonts w:ascii="Arial" w:hAnsi="Arial" w:cs="Arial"/>
                <w:sz w:val="18"/>
                <w:szCs w:val="18"/>
              </w:rPr>
            </w:pPr>
          </w:p>
        </w:tc>
      </w:tr>
      <w:tr w:rsidR="008005DC" w:rsidRPr="0074469A" w14:paraId="35922320" w14:textId="77777777" w:rsidTr="008005DC">
        <w:tc>
          <w:tcPr>
            <w:tcW w:w="2689" w:type="dxa"/>
          </w:tcPr>
          <w:p w14:paraId="233EEC66" w14:textId="77777777" w:rsidR="00CC0E66" w:rsidRPr="0074469A" w:rsidRDefault="00CC0E66" w:rsidP="006B3BFC">
            <w:pPr>
              <w:rPr>
                <w:rFonts w:ascii="Arial" w:hAnsi="Arial" w:cs="Arial"/>
                <w:sz w:val="18"/>
                <w:szCs w:val="18"/>
                <w:lang w:val="en-US"/>
              </w:rPr>
            </w:pPr>
            <w:r w:rsidRPr="0074469A">
              <w:rPr>
                <w:rFonts w:ascii="Arial" w:hAnsi="Arial" w:cs="Arial"/>
                <w:b/>
                <w:bCs/>
                <w:sz w:val="18"/>
                <w:szCs w:val="18"/>
                <w:lang w:val="en-US"/>
              </w:rPr>
              <w:t>Association of Care Giving Relatives and Friends v. Finland</w:t>
            </w:r>
            <w:r w:rsidRPr="0074469A">
              <w:rPr>
                <w:rFonts w:ascii="Arial" w:hAnsi="Arial" w:cs="Arial"/>
                <w:sz w:val="18"/>
                <w:szCs w:val="18"/>
                <w:lang w:val="en-US"/>
              </w:rPr>
              <w:t xml:space="preserve"> (</w:t>
            </w:r>
            <w:hyperlink r:id="rId8" w:history="1">
              <w:r w:rsidRPr="0074469A">
                <w:rPr>
                  <w:rStyle w:val="Hyperlinkki"/>
                  <w:rFonts w:ascii="Arial" w:hAnsi="Arial" w:cs="Arial"/>
                  <w:sz w:val="18"/>
                  <w:szCs w:val="18"/>
                  <w:lang w:val="en-US"/>
                </w:rPr>
                <w:t>valitus nro. 71/2011</w:t>
              </w:r>
            </w:hyperlink>
            <w:r w:rsidRPr="0074469A">
              <w:rPr>
                <w:rFonts w:ascii="Arial" w:hAnsi="Arial" w:cs="Arial"/>
                <w:sz w:val="18"/>
                <w:szCs w:val="18"/>
                <w:lang w:val="en-US"/>
              </w:rPr>
              <w:t xml:space="preserve">) </w:t>
            </w:r>
          </w:p>
          <w:p w14:paraId="3FFFCFE9" w14:textId="77777777" w:rsidR="00CC0E66" w:rsidRPr="0074469A" w:rsidRDefault="00CC0E66" w:rsidP="006B3BFC">
            <w:pPr>
              <w:rPr>
                <w:rFonts w:ascii="Arial" w:hAnsi="Arial" w:cs="Arial"/>
                <w:sz w:val="18"/>
                <w:szCs w:val="18"/>
                <w:lang w:val="en-US"/>
              </w:rPr>
            </w:pPr>
          </w:p>
          <w:p w14:paraId="53D7E2BA" w14:textId="1829A5B1" w:rsidR="00CC0E66" w:rsidRPr="0074469A" w:rsidRDefault="00CC0E66" w:rsidP="006B3BFC">
            <w:pPr>
              <w:rPr>
                <w:rFonts w:ascii="Arial" w:hAnsi="Arial" w:cs="Arial"/>
                <w:sz w:val="18"/>
                <w:szCs w:val="18"/>
              </w:rPr>
            </w:pPr>
            <w:r w:rsidRPr="0074469A">
              <w:rPr>
                <w:rFonts w:ascii="Arial" w:hAnsi="Arial" w:cs="Arial"/>
                <w:sz w:val="18"/>
                <w:szCs w:val="18"/>
              </w:rPr>
              <w:t xml:space="preserve">-sos. komitean </w:t>
            </w:r>
            <w:r>
              <w:rPr>
                <w:rFonts w:ascii="Arial" w:hAnsi="Arial" w:cs="Arial"/>
                <w:sz w:val="18"/>
                <w:szCs w:val="18"/>
              </w:rPr>
              <w:t>4</w:t>
            </w:r>
            <w:r w:rsidRPr="0074469A">
              <w:rPr>
                <w:rFonts w:ascii="Arial" w:hAnsi="Arial" w:cs="Arial"/>
                <w:sz w:val="18"/>
                <w:szCs w:val="18"/>
              </w:rPr>
              <w:t>. arviointi edistyksestä vuodelta 202</w:t>
            </w:r>
            <w:r w:rsidR="008005DC">
              <w:rPr>
                <w:rFonts w:ascii="Arial" w:hAnsi="Arial" w:cs="Arial"/>
                <w:sz w:val="18"/>
                <w:szCs w:val="18"/>
              </w:rPr>
              <w:t>3</w:t>
            </w:r>
          </w:p>
        </w:tc>
        <w:tc>
          <w:tcPr>
            <w:tcW w:w="1134" w:type="dxa"/>
          </w:tcPr>
          <w:p w14:paraId="1C21E58B" w14:textId="77777777" w:rsidR="00CC0E66" w:rsidRPr="0074469A" w:rsidRDefault="00CC0E66" w:rsidP="006B3BFC">
            <w:pPr>
              <w:rPr>
                <w:rFonts w:ascii="Arial" w:hAnsi="Arial" w:cs="Arial"/>
                <w:sz w:val="18"/>
                <w:szCs w:val="18"/>
                <w:lang w:val="en-US"/>
              </w:rPr>
            </w:pPr>
            <w:r w:rsidRPr="0074469A">
              <w:rPr>
                <w:rFonts w:ascii="Arial" w:hAnsi="Arial" w:cs="Arial"/>
                <w:sz w:val="18"/>
                <w:szCs w:val="18"/>
                <w:lang w:val="en-US"/>
              </w:rPr>
              <w:t>4.12.2012</w:t>
            </w:r>
          </w:p>
        </w:tc>
        <w:tc>
          <w:tcPr>
            <w:tcW w:w="1984" w:type="dxa"/>
          </w:tcPr>
          <w:p w14:paraId="5B6FD585" w14:textId="77777777" w:rsidR="00CC0E66" w:rsidRPr="0074469A" w:rsidRDefault="00CC0E66" w:rsidP="006B3BFC">
            <w:pPr>
              <w:rPr>
                <w:rFonts w:ascii="Arial" w:hAnsi="Arial" w:cs="Arial"/>
                <w:sz w:val="18"/>
                <w:szCs w:val="18"/>
              </w:rPr>
            </w:pPr>
            <w:r w:rsidRPr="0074469A">
              <w:rPr>
                <w:rFonts w:ascii="Arial" w:hAnsi="Arial" w:cs="Arial"/>
                <w:sz w:val="18"/>
                <w:szCs w:val="18"/>
              </w:rPr>
              <w:t xml:space="preserve">Sosiaalisten oikeuksien komitea todennut rikkomuksen ja korjaamisessa on tapahtunut kehitystä, mutta rikkomusta ei ole vielä korjattu. </w:t>
            </w:r>
          </w:p>
          <w:p w14:paraId="6C5F28DA" w14:textId="77777777" w:rsidR="00CC0E66" w:rsidRPr="0074469A" w:rsidRDefault="00CC0E66" w:rsidP="006B3BFC">
            <w:pPr>
              <w:rPr>
                <w:rFonts w:ascii="Arial" w:hAnsi="Arial" w:cs="Arial"/>
                <w:sz w:val="18"/>
                <w:szCs w:val="18"/>
              </w:rPr>
            </w:pPr>
          </w:p>
        </w:tc>
        <w:tc>
          <w:tcPr>
            <w:tcW w:w="4394" w:type="dxa"/>
          </w:tcPr>
          <w:p w14:paraId="19AF35B9" w14:textId="77777777" w:rsidR="00CC0E66" w:rsidRPr="0074469A" w:rsidRDefault="00CC0E66" w:rsidP="006B3BFC">
            <w:pPr>
              <w:rPr>
                <w:rFonts w:ascii="Arial" w:hAnsi="Arial" w:cs="Arial"/>
                <w:sz w:val="18"/>
                <w:szCs w:val="18"/>
              </w:rPr>
            </w:pPr>
            <w:r w:rsidRPr="0074469A">
              <w:rPr>
                <w:rFonts w:ascii="Arial" w:hAnsi="Arial" w:cs="Arial"/>
                <w:sz w:val="18"/>
                <w:szCs w:val="18"/>
              </w:rPr>
              <w:t xml:space="preserve">Komitea totesi </w:t>
            </w:r>
            <w:r w:rsidRPr="0074469A">
              <w:rPr>
                <w:rFonts w:ascii="Arial" w:hAnsi="Arial" w:cs="Arial"/>
                <w:b/>
                <w:bCs/>
                <w:sz w:val="18"/>
                <w:szCs w:val="18"/>
              </w:rPr>
              <w:t>artiklan 23</w:t>
            </w:r>
            <w:r w:rsidRPr="0074469A">
              <w:rPr>
                <w:rFonts w:ascii="Arial" w:hAnsi="Arial" w:cs="Arial"/>
                <w:sz w:val="18"/>
                <w:szCs w:val="18"/>
              </w:rPr>
              <w:t xml:space="preserve"> rikkomuksen, koska palveluasumisen sekä ympärivuorokautisen palveluasumisen asiakaspalvelumaksuja ei ollut säädelty riittävästi eikä palveluasumisen tarjonta vastannut kysyntää. Monimutkaiset ja vaihtelevat maksukäytännöt aiheuttivat epävarmuutta palveluiden tarvitsijoissa eikä ollut olemassa takuita siitä, että tarvittavia palveluita oli saatavilla tai edes riittävää tietoa palveluista ja mahdollisuuksista niiden käyttöön.</w:t>
            </w:r>
          </w:p>
        </w:tc>
        <w:tc>
          <w:tcPr>
            <w:tcW w:w="3793" w:type="dxa"/>
          </w:tcPr>
          <w:p w14:paraId="71ACBDDD" w14:textId="77777777" w:rsidR="00CC0E66" w:rsidRDefault="00CC0E66" w:rsidP="006B3BFC">
            <w:pPr>
              <w:rPr>
                <w:rFonts w:ascii="Arial" w:hAnsi="Arial" w:cs="Arial"/>
                <w:sz w:val="18"/>
                <w:szCs w:val="18"/>
              </w:rPr>
            </w:pPr>
            <w:r w:rsidRPr="0074469A">
              <w:rPr>
                <w:rFonts w:ascii="Arial" w:hAnsi="Arial" w:cs="Arial"/>
                <w:sz w:val="18"/>
                <w:szCs w:val="18"/>
              </w:rPr>
              <w:t xml:space="preserve">Tilanne ei ole edelleenkään täysin korjaantunut. Vaikka asiakaspalvelumaksujärjestelmää ollaan uudistamassa, edelleenkään ei ole takeita siitä, että palveluasumisen maksujen jälkeen asiakkaalle jäisi esimerkiksi rahaa muuhun käyttöön. </w:t>
            </w:r>
          </w:p>
          <w:p w14:paraId="0AFCC851" w14:textId="77777777" w:rsidR="00CC0E66" w:rsidRDefault="00CC0E66" w:rsidP="006B3BFC">
            <w:pPr>
              <w:rPr>
                <w:rFonts w:ascii="Arial" w:hAnsi="Arial" w:cs="Arial"/>
                <w:sz w:val="18"/>
                <w:szCs w:val="18"/>
              </w:rPr>
            </w:pPr>
          </w:p>
          <w:p w14:paraId="1E9D76D0" w14:textId="77777777" w:rsidR="00CC0E66" w:rsidRPr="00F348D6" w:rsidRDefault="00CC0E66" w:rsidP="006B3BFC">
            <w:pPr>
              <w:rPr>
                <w:rFonts w:ascii="Arial" w:hAnsi="Arial" w:cs="Arial"/>
                <w:sz w:val="18"/>
                <w:szCs w:val="18"/>
              </w:rPr>
            </w:pPr>
            <w:r>
              <w:rPr>
                <w:rFonts w:ascii="Arial" w:hAnsi="Arial" w:cs="Arial"/>
                <w:sz w:val="18"/>
                <w:szCs w:val="18"/>
              </w:rPr>
              <w:t>Komitea on</w:t>
            </w:r>
            <w:r w:rsidRPr="00F348D6">
              <w:rPr>
                <w:rFonts w:ascii="Arial" w:hAnsi="Arial" w:cs="Arial"/>
                <w:sz w:val="18"/>
                <w:szCs w:val="18"/>
              </w:rPr>
              <w:t xml:space="preserve"> to</w:t>
            </w:r>
            <w:r>
              <w:rPr>
                <w:rFonts w:ascii="Arial" w:hAnsi="Arial" w:cs="Arial"/>
                <w:sz w:val="18"/>
                <w:szCs w:val="18"/>
              </w:rPr>
              <w:t>dennut</w:t>
            </w:r>
            <w:r w:rsidRPr="00F348D6">
              <w:rPr>
                <w:rFonts w:ascii="Arial" w:hAnsi="Arial" w:cs="Arial"/>
                <w:sz w:val="18"/>
                <w:szCs w:val="18"/>
              </w:rPr>
              <w:t xml:space="preserve">, että kansalaisjärjestöjen mielestä palveluasumisen maksujärjestelmä on monimutkainen ja kallis sekä hallinnon että asiakkaiden näkökulmasta. Heidän mielestään selkeä maksujärjestelmä parantaisi asiakkaiden mahdollisuuksia saada sellaisia ​​palveluita, joita hänen terveydentilansa ja tilansa edellyttävät. </w:t>
            </w:r>
            <w:r>
              <w:rPr>
                <w:rFonts w:ascii="Arial" w:hAnsi="Arial" w:cs="Arial"/>
                <w:sz w:val="18"/>
                <w:szCs w:val="18"/>
              </w:rPr>
              <w:t>Komitea on pyytänyt</w:t>
            </w:r>
            <w:r w:rsidRPr="00F348D6">
              <w:rPr>
                <w:rFonts w:ascii="Arial" w:hAnsi="Arial" w:cs="Arial"/>
                <w:sz w:val="18"/>
                <w:szCs w:val="18"/>
              </w:rPr>
              <w:t xml:space="preserve"> hallitusta kommentoimaan kansalaisjärjestöjen näkemystä</w:t>
            </w:r>
            <w:r>
              <w:rPr>
                <w:rFonts w:ascii="Arial" w:hAnsi="Arial" w:cs="Arial"/>
                <w:sz w:val="18"/>
                <w:szCs w:val="18"/>
              </w:rPr>
              <w:t>.</w:t>
            </w:r>
          </w:p>
          <w:p w14:paraId="19E3C38F" w14:textId="77777777" w:rsidR="00CC0E66" w:rsidRDefault="00CC0E66" w:rsidP="006B3BFC">
            <w:pPr>
              <w:rPr>
                <w:rFonts w:ascii="Arial" w:hAnsi="Arial" w:cs="Arial"/>
                <w:sz w:val="18"/>
                <w:szCs w:val="18"/>
              </w:rPr>
            </w:pPr>
          </w:p>
          <w:p w14:paraId="51D20F0D" w14:textId="77777777" w:rsidR="00CC0E66" w:rsidRDefault="00CC0E66" w:rsidP="006B3BFC">
            <w:pPr>
              <w:rPr>
                <w:rFonts w:ascii="Arial" w:hAnsi="Arial" w:cs="Arial"/>
                <w:sz w:val="18"/>
                <w:szCs w:val="18"/>
              </w:rPr>
            </w:pPr>
          </w:p>
          <w:p w14:paraId="02985838" w14:textId="77777777" w:rsidR="00CC0E66" w:rsidRPr="0074469A" w:rsidRDefault="00CC0E66" w:rsidP="006B3BFC">
            <w:pPr>
              <w:rPr>
                <w:rFonts w:ascii="Arial" w:hAnsi="Arial" w:cs="Arial"/>
                <w:sz w:val="18"/>
                <w:szCs w:val="18"/>
              </w:rPr>
            </w:pPr>
            <w:r w:rsidRPr="0074469A">
              <w:rPr>
                <w:rFonts w:ascii="Arial" w:hAnsi="Arial" w:cs="Arial"/>
                <w:sz w:val="18"/>
                <w:szCs w:val="18"/>
              </w:rPr>
              <w:t>Hallituksen tulee toimittaa päivitettyä tietoa uudistuksista seuraavan määräaikaisraportoinnin yhteydessä.</w:t>
            </w:r>
          </w:p>
          <w:p w14:paraId="3B39DAF8" w14:textId="77777777" w:rsidR="00CC0E66" w:rsidRPr="00F348D6" w:rsidRDefault="00CC0E66" w:rsidP="006B3BFC">
            <w:pPr>
              <w:rPr>
                <w:rFonts w:ascii="Arial" w:hAnsi="Arial" w:cs="Arial"/>
                <w:sz w:val="18"/>
                <w:szCs w:val="18"/>
              </w:rPr>
            </w:pPr>
          </w:p>
        </w:tc>
      </w:tr>
      <w:tr w:rsidR="008005DC" w:rsidRPr="0074469A" w14:paraId="247B418A" w14:textId="77777777" w:rsidTr="008005DC">
        <w:tc>
          <w:tcPr>
            <w:tcW w:w="2689" w:type="dxa"/>
          </w:tcPr>
          <w:p w14:paraId="425A63F5" w14:textId="77777777" w:rsidR="00CC0E66" w:rsidRPr="0074469A" w:rsidRDefault="00CC0E66" w:rsidP="006B3BFC">
            <w:pPr>
              <w:rPr>
                <w:rFonts w:ascii="Arial" w:hAnsi="Arial" w:cs="Arial"/>
                <w:sz w:val="18"/>
                <w:szCs w:val="18"/>
                <w:lang w:val="en-US"/>
              </w:rPr>
            </w:pPr>
            <w:r w:rsidRPr="0074469A">
              <w:rPr>
                <w:rFonts w:ascii="Arial" w:hAnsi="Arial" w:cs="Arial"/>
                <w:b/>
                <w:bCs/>
                <w:sz w:val="18"/>
                <w:szCs w:val="18"/>
                <w:lang w:val="en-US"/>
              </w:rPr>
              <w:lastRenderedPageBreak/>
              <w:t>Finnish Society of Social Rights v. Finland</w:t>
            </w:r>
            <w:r w:rsidRPr="0074469A">
              <w:rPr>
                <w:rFonts w:ascii="Arial" w:hAnsi="Arial" w:cs="Arial"/>
                <w:sz w:val="18"/>
                <w:szCs w:val="18"/>
                <w:lang w:val="en-US"/>
              </w:rPr>
              <w:t xml:space="preserve"> (</w:t>
            </w:r>
            <w:hyperlink r:id="rId9" w:history="1">
              <w:r w:rsidRPr="0074469A">
                <w:rPr>
                  <w:rStyle w:val="Hyperlinkki"/>
                  <w:rFonts w:ascii="Arial" w:hAnsi="Arial" w:cs="Arial"/>
                  <w:sz w:val="18"/>
                  <w:szCs w:val="18"/>
                  <w:lang w:val="en-US"/>
                </w:rPr>
                <w:t>valitus nro. 88/2012</w:t>
              </w:r>
            </w:hyperlink>
            <w:r w:rsidRPr="0074469A">
              <w:rPr>
                <w:rFonts w:ascii="Arial" w:hAnsi="Arial" w:cs="Arial"/>
                <w:sz w:val="18"/>
                <w:szCs w:val="18"/>
                <w:lang w:val="en-US"/>
              </w:rPr>
              <w:t>)</w:t>
            </w:r>
          </w:p>
          <w:p w14:paraId="20B985F9" w14:textId="77777777" w:rsidR="00CC0E66" w:rsidRPr="0074469A" w:rsidRDefault="00CC0E66" w:rsidP="006B3BFC">
            <w:pPr>
              <w:rPr>
                <w:rFonts w:ascii="Arial" w:hAnsi="Arial" w:cs="Arial"/>
                <w:sz w:val="18"/>
                <w:szCs w:val="18"/>
                <w:lang w:val="en-US"/>
              </w:rPr>
            </w:pPr>
          </w:p>
          <w:p w14:paraId="08555E61" w14:textId="77777777" w:rsidR="00CC0E66" w:rsidRPr="0074469A" w:rsidRDefault="00CC0E66" w:rsidP="006B3BFC">
            <w:pPr>
              <w:rPr>
                <w:rFonts w:ascii="Arial" w:hAnsi="Arial" w:cs="Arial"/>
                <w:sz w:val="18"/>
                <w:szCs w:val="18"/>
              </w:rPr>
            </w:pPr>
            <w:r w:rsidRPr="0074469A">
              <w:rPr>
                <w:rFonts w:ascii="Arial" w:hAnsi="Arial" w:cs="Arial"/>
                <w:sz w:val="18"/>
                <w:szCs w:val="18"/>
              </w:rPr>
              <w:t xml:space="preserve">-sos. komitean </w:t>
            </w:r>
            <w:r>
              <w:rPr>
                <w:rFonts w:ascii="Arial" w:hAnsi="Arial" w:cs="Arial"/>
                <w:sz w:val="18"/>
                <w:szCs w:val="18"/>
              </w:rPr>
              <w:t>3</w:t>
            </w:r>
            <w:r w:rsidRPr="0074469A">
              <w:rPr>
                <w:rFonts w:ascii="Arial" w:hAnsi="Arial" w:cs="Arial"/>
                <w:sz w:val="18"/>
                <w:szCs w:val="18"/>
              </w:rPr>
              <w:t>. tarkastelu edistyksestä vuodelta 202</w:t>
            </w:r>
            <w:r>
              <w:rPr>
                <w:rFonts w:ascii="Arial" w:hAnsi="Arial" w:cs="Arial"/>
                <w:sz w:val="18"/>
                <w:szCs w:val="18"/>
              </w:rPr>
              <w:t>1</w:t>
            </w:r>
          </w:p>
        </w:tc>
        <w:tc>
          <w:tcPr>
            <w:tcW w:w="1134" w:type="dxa"/>
          </w:tcPr>
          <w:p w14:paraId="4E125633" w14:textId="77777777" w:rsidR="00CC0E66" w:rsidRPr="0074469A" w:rsidRDefault="00CC0E66" w:rsidP="006B3BFC">
            <w:pPr>
              <w:rPr>
                <w:rFonts w:ascii="Arial" w:hAnsi="Arial" w:cs="Arial"/>
                <w:sz w:val="18"/>
                <w:szCs w:val="18"/>
                <w:lang w:val="en-US"/>
              </w:rPr>
            </w:pPr>
            <w:r w:rsidRPr="0074469A">
              <w:rPr>
                <w:rFonts w:ascii="Arial" w:hAnsi="Arial" w:cs="Arial"/>
                <w:sz w:val="18"/>
                <w:szCs w:val="18"/>
                <w:lang w:val="en-US"/>
              </w:rPr>
              <w:t>9.9.2014</w:t>
            </w:r>
          </w:p>
        </w:tc>
        <w:tc>
          <w:tcPr>
            <w:tcW w:w="1984" w:type="dxa"/>
          </w:tcPr>
          <w:p w14:paraId="3081CDC0" w14:textId="77777777" w:rsidR="00CC0E66" w:rsidRPr="0074469A" w:rsidRDefault="00CC0E66" w:rsidP="006B3BFC">
            <w:pPr>
              <w:rPr>
                <w:rFonts w:ascii="Arial" w:hAnsi="Arial" w:cs="Arial"/>
                <w:sz w:val="18"/>
                <w:szCs w:val="18"/>
              </w:rPr>
            </w:pPr>
            <w:r w:rsidRPr="0074469A">
              <w:rPr>
                <w:rFonts w:ascii="Arial" w:hAnsi="Arial" w:cs="Arial"/>
                <w:sz w:val="18"/>
                <w:szCs w:val="18"/>
              </w:rPr>
              <w:t>Sosiaalisten oikeuksien komitea todennut rikkomuksen, mutta sitä ei ole vielä korjattu.</w:t>
            </w:r>
          </w:p>
        </w:tc>
        <w:tc>
          <w:tcPr>
            <w:tcW w:w="4394" w:type="dxa"/>
          </w:tcPr>
          <w:p w14:paraId="7EBF15D0" w14:textId="77777777" w:rsidR="00CC0E66" w:rsidRPr="0074469A" w:rsidRDefault="00CC0E66" w:rsidP="006B3BFC">
            <w:pPr>
              <w:rPr>
                <w:rFonts w:ascii="Arial" w:hAnsi="Arial" w:cs="Arial"/>
                <w:sz w:val="18"/>
                <w:szCs w:val="18"/>
              </w:rPr>
            </w:pPr>
            <w:r w:rsidRPr="0074469A">
              <w:rPr>
                <w:rFonts w:ascii="Arial" w:hAnsi="Arial" w:cs="Arial"/>
                <w:sz w:val="18"/>
                <w:szCs w:val="18"/>
              </w:rPr>
              <w:t xml:space="preserve">Komitea totesi rikkomuksen </w:t>
            </w:r>
            <w:r w:rsidRPr="0074469A">
              <w:rPr>
                <w:rFonts w:ascii="Arial" w:hAnsi="Arial" w:cs="Arial"/>
                <w:b/>
                <w:bCs/>
                <w:sz w:val="18"/>
                <w:szCs w:val="18"/>
              </w:rPr>
              <w:t>artiklan 12</w:t>
            </w:r>
            <w:r w:rsidRPr="0074469A">
              <w:rPr>
                <w:rFonts w:ascii="Arial" w:hAnsi="Arial" w:cs="Arial"/>
                <w:sz w:val="18"/>
                <w:szCs w:val="18"/>
              </w:rPr>
              <w:t xml:space="preserve"> osalta, koska sosiaaliturvaetuuksien minimitaso oli liian alhainen. </w:t>
            </w:r>
          </w:p>
          <w:p w14:paraId="03B4CF51" w14:textId="77777777" w:rsidR="00CC0E66" w:rsidRPr="0074469A" w:rsidRDefault="00CC0E66" w:rsidP="006B3BFC">
            <w:pPr>
              <w:rPr>
                <w:rFonts w:ascii="Arial" w:hAnsi="Arial" w:cs="Arial"/>
                <w:sz w:val="18"/>
                <w:szCs w:val="18"/>
              </w:rPr>
            </w:pPr>
            <w:r w:rsidRPr="0074469A">
              <w:rPr>
                <w:rFonts w:ascii="Arial" w:hAnsi="Arial" w:cs="Arial"/>
                <w:sz w:val="18"/>
                <w:szCs w:val="18"/>
              </w:rPr>
              <w:t xml:space="preserve">Komitea totesi rikkomuksen myös </w:t>
            </w:r>
            <w:r w:rsidRPr="0074469A">
              <w:rPr>
                <w:rFonts w:ascii="Arial" w:hAnsi="Arial" w:cs="Arial"/>
                <w:b/>
                <w:bCs/>
                <w:sz w:val="18"/>
                <w:szCs w:val="18"/>
              </w:rPr>
              <w:t>artiklan 13</w:t>
            </w:r>
            <w:r w:rsidRPr="0074469A">
              <w:rPr>
                <w:rFonts w:ascii="Arial" w:hAnsi="Arial" w:cs="Arial"/>
                <w:sz w:val="18"/>
                <w:szCs w:val="18"/>
              </w:rPr>
              <w:t xml:space="preserve"> osalta koska toimeentulotuki ja työmarkkinatuki olivat riittämättömiä.</w:t>
            </w:r>
          </w:p>
        </w:tc>
        <w:tc>
          <w:tcPr>
            <w:tcW w:w="3793" w:type="dxa"/>
          </w:tcPr>
          <w:p w14:paraId="4A82088D" w14:textId="77777777" w:rsidR="00CC0E66" w:rsidRDefault="00CC0E66" w:rsidP="006B3BFC">
            <w:pPr>
              <w:rPr>
                <w:rFonts w:ascii="Arial" w:hAnsi="Arial" w:cs="Arial"/>
                <w:sz w:val="18"/>
                <w:szCs w:val="18"/>
              </w:rPr>
            </w:pPr>
            <w:r w:rsidRPr="0074469A">
              <w:rPr>
                <w:rFonts w:ascii="Arial" w:hAnsi="Arial" w:cs="Arial"/>
                <w:sz w:val="18"/>
                <w:szCs w:val="18"/>
              </w:rPr>
              <w:t xml:space="preserve">Vuoden 2014 jälkeen on tehty erilaisia uudistuksia (mm. työttömyysturvan aktiivimalli) ja kokeiluja (mm. perustulokokeilu) sekä eri etuuksien indeksikorotuksien jäädyttäminen. Toimeentulotuen maksamisen siirryttyä kunnilta KELA:lle, maksamisessa tapahtuneiden viivästysten vuoksi monet jäivät täysin ilman tukia eivätkä pystyneet maksamaan lääkkeitään tai asumistaan. Hallituksen tulee toimittaa päivitettyä tietoa uudistuksista tulevien määräaikaisraportointien ohessa. </w:t>
            </w:r>
          </w:p>
          <w:p w14:paraId="798EF6EA" w14:textId="77777777" w:rsidR="00CC0E66" w:rsidRDefault="00CC0E66" w:rsidP="006B3BFC">
            <w:pPr>
              <w:rPr>
                <w:rFonts w:ascii="Arial" w:hAnsi="Arial" w:cs="Arial"/>
                <w:sz w:val="18"/>
                <w:szCs w:val="18"/>
              </w:rPr>
            </w:pPr>
          </w:p>
          <w:p w14:paraId="0F240D96" w14:textId="77777777" w:rsidR="00CC0E66" w:rsidRDefault="00CC0E66" w:rsidP="006B3BFC">
            <w:pPr>
              <w:rPr>
                <w:rFonts w:ascii="Arial" w:hAnsi="Arial" w:cs="Arial"/>
                <w:sz w:val="18"/>
                <w:szCs w:val="18"/>
              </w:rPr>
            </w:pPr>
            <w:r>
              <w:rPr>
                <w:rFonts w:ascii="Arial" w:hAnsi="Arial" w:cs="Arial"/>
                <w:sz w:val="18"/>
                <w:szCs w:val="18"/>
              </w:rPr>
              <w:t>Komitea</w:t>
            </w:r>
            <w:r w:rsidRPr="00F348D6">
              <w:rPr>
                <w:rFonts w:ascii="Arial" w:hAnsi="Arial" w:cs="Arial"/>
                <w:sz w:val="18"/>
                <w:szCs w:val="18"/>
              </w:rPr>
              <w:t xml:space="preserve"> toisti, että viranomaisten olisi </w:t>
            </w:r>
            <w:r>
              <w:rPr>
                <w:rFonts w:ascii="Arial" w:hAnsi="Arial" w:cs="Arial"/>
                <w:sz w:val="18"/>
                <w:szCs w:val="18"/>
              </w:rPr>
              <w:t>annettava</w:t>
            </w:r>
            <w:r w:rsidRPr="00F348D6">
              <w:rPr>
                <w:rFonts w:ascii="Arial" w:hAnsi="Arial" w:cs="Arial"/>
                <w:sz w:val="18"/>
                <w:szCs w:val="18"/>
              </w:rPr>
              <w:t xml:space="preserve"> tietoja toimenpiteistä, jotka on toteutettu päätöksen johdosta, ja an</w:t>
            </w:r>
            <w:r>
              <w:rPr>
                <w:rFonts w:ascii="Arial" w:hAnsi="Arial" w:cs="Arial"/>
                <w:sz w:val="18"/>
                <w:szCs w:val="18"/>
              </w:rPr>
              <w:t>nettava</w:t>
            </w:r>
            <w:r w:rsidRPr="00F348D6">
              <w:rPr>
                <w:rFonts w:ascii="Arial" w:hAnsi="Arial" w:cs="Arial"/>
                <w:sz w:val="18"/>
                <w:szCs w:val="18"/>
              </w:rPr>
              <w:t xml:space="preserve"> esimerkkejä </w:t>
            </w:r>
            <w:r>
              <w:rPr>
                <w:rFonts w:ascii="Arial" w:hAnsi="Arial" w:cs="Arial"/>
                <w:sz w:val="18"/>
                <w:szCs w:val="18"/>
              </w:rPr>
              <w:t>tilastoista</w:t>
            </w:r>
            <w:r w:rsidRPr="00F348D6">
              <w:rPr>
                <w:rFonts w:ascii="Arial" w:hAnsi="Arial" w:cs="Arial"/>
                <w:sz w:val="18"/>
                <w:szCs w:val="18"/>
              </w:rPr>
              <w:t>, jotka osoittavat, että kyseessä olevat tärkeimmät edut yhdistettynä muihin lisäetuu</w:t>
            </w:r>
            <w:r>
              <w:rPr>
                <w:rFonts w:ascii="Arial" w:hAnsi="Arial" w:cs="Arial"/>
                <w:sz w:val="18"/>
                <w:szCs w:val="18"/>
              </w:rPr>
              <w:t>ksiin</w:t>
            </w:r>
            <w:r w:rsidRPr="00F348D6">
              <w:rPr>
                <w:rFonts w:ascii="Arial" w:hAnsi="Arial" w:cs="Arial"/>
                <w:sz w:val="18"/>
                <w:szCs w:val="18"/>
              </w:rPr>
              <w:t xml:space="preserve"> saavuttavat riittävän tason peruskirjan 12 artiklan 1 kohdan ja 13 artiklan 1 kohdan vaatimusten täyttämiseksi.</w:t>
            </w:r>
          </w:p>
          <w:p w14:paraId="7CA36C36" w14:textId="77777777" w:rsidR="007E24E5" w:rsidRPr="0074469A" w:rsidRDefault="007E24E5" w:rsidP="006B3BFC">
            <w:pPr>
              <w:rPr>
                <w:rFonts w:ascii="Arial" w:hAnsi="Arial" w:cs="Arial"/>
                <w:sz w:val="18"/>
                <w:szCs w:val="18"/>
              </w:rPr>
            </w:pPr>
          </w:p>
        </w:tc>
      </w:tr>
      <w:tr w:rsidR="008005DC" w:rsidRPr="0074469A" w14:paraId="0D63F8F3" w14:textId="77777777" w:rsidTr="008005DC">
        <w:tc>
          <w:tcPr>
            <w:tcW w:w="2689" w:type="dxa"/>
          </w:tcPr>
          <w:p w14:paraId="278E1098" w14:textId="77777777" w:rsidR="00CC0E66" w:rsidRPr="0074469A" w:rsidRDefault="00CC0E66" w:rsidP="006B3BFC">
            <w:pPr>
              <w:rPr>
                <w:rFonts w:ascii="Arial" w:hAnsi="Arial" w:cs="Arial"/>
                <w:sz w:val="18"/>
                <w:szCs w:val="18"/>
                <w:lang w:val="en-US"/>
              </w:rPr>
            </w:pPr>
            <w:r w:rsidRPr="0074469A">
              <w:rPr>
                <w:rFonts w:ascii="Arial" w:hAnsi="Arial" w:cs="Arial"/>
                <w:b/>
                <w:bCs/>
                <w:sz w:val="18"/>
                <w:szCs w:val="18"/>
                <w:lang w:val="en-US"/>
              </w:rPr>
              <w:t>Finnish Society of Social Rights v. Finland</w:t>
            </w:r>
            <w:r w:rsidRPr="0074469A">
              <w:rPr>
                <w:rFonts w:ascii="Arial" w:hAnsi="Arial" w:cs="Arial"/>
                <w:sz w:val="18"/>
                <w:szCs w:val="18"/>
                <w:lang w:val="en-US"/>
              </w:rPr>
              <w:t xml:space="preserve"> (</w:t>
            </w:r>
            <w:hyperlink r:id="rId10" w:history="1">
              <w:r w:rsidRPr="0074469A">
                <w:rPr>
                  <w:rStyle w:val="Hyperlinkki"/>
                  <w:rFonts w:ascii="Arial" w:hAnsi="Arial" w:cs="Arial"/>
                  <w:sz w:val="18"/>
                  <w:szCs w:val="18"/>
                  <w:lang w:val="en-US"/>
                </w:rPr>
                <w:t>valitus nro. 106/2014</w:t>
              </w:r>
            </w:hyperlink>
            <w:r w:rsidRPr="0074469A">
              <w:rPr>
                <w:rFonts w:ascii="Arial" w:hAnsi="Arial" w:cs="Arial"/>
                <w:sz w:val="18"/>
                <w:szCs w:val="18"/>
                <w:lang w:val="en-US"/>
              </w:rPr>
              <w:t>)</w:t>
            </w:r>
          </w:p>
          <w:p w14:paraId="101F594F" w14:textId="77777777" w:rsidR="00CC0E66" w:rsidRPr="0074469A" w:rsidRDefault="00CC0E66" w:rsidP="006B3BFC">
            <w:pPr>
              <w:rPr>
                <w:rFonts w:ascii="Arial" w:hAnsi="Arial" w:cs="Arial"/>
                <w:sz w:val="18"/>
                <w:szCs w:val="18"/>
                <w:lang w:val="en-US"/>
              </w:rPr>
            </w:pPr>
          </w:p>
          <w:p w14:paraId="1DB1E71F" w14:textId="77777777" w:rsidR="00CC0E66" w:rsidRPr="0074469A" w:rsidRDefault="00CC0E66" w:rsidP="006B3BFC">
            <w:pPr>
              <w:rPr>
                <w:rFonts w:ascii="Arial" w:hAnsi="Arial" w:cs="Arial"/>
                <w:sz w:val="18"/>
                <w:szCs w:val="18"/>
              </w:rPr>
            </w:pPr>
            <w:r w:rsidRPr="0074469A">
              <w:rPr>
                <w:rFonts w:ascii="Arial" w:hAnsi="Arial" w:cs="Arial"/>
                <w:sz w:val="18"/>
                <w:szCs w:val="18"/>
              </w:rPr>
              <w:t xml:space="preserve">-sos. komitean </w:t>
            </w:r>
            <w:r>
              <w:rPr>
                <w:rFonts w:ascii="Arial" w:hAnsi="Arial" w:cs="Arial"/>
                <w:sz w:val="18"/>
                <w:szCs w:val="18"/>
              </w:rPr>
              <w:t>3</w:t>
            </w:r>
            <w:r w:rsidRPr="0074469A">
              <w:rPr>
                <w:rFonts w:ascii="Arial" w:hAnsi="Arial" w:cs="Arial"/>
                <w:sz w:val="18"/>
                <w:szCs w:val="18"/>
              </w:rPr>
              <w:t>. tarkastelu seurannasta vuodelta 202</w:t>
            </w:r>
            <w:r>
              <w:rPr>
                <w:rFonts w:ascii="Arial" w:hAnsi="Arial" w:cs="Arial"/>
                <w:sz w:val="18"/>
                <w:szCs w:val="18"/>
              </w:rPr>
              <w:t>1</w:t>
            </w:r>
          </w:p>
        </w:tc>
        <w:tc>
          <w:tcPr>
            <w:tcW w:w="1134" w:type="dxa"/>
          </w:tcPr>
          <w:p w14:paraId="4CFC454F" w14:textId="77777777" w:rsidR="00CC0E66" w:rsidRPr="0074469A" w:rsidRDefault="00CC0E66" w:rsidP="006B3BFC">
            <w:pPr>
              <w:rPr>
                <w:rFonts w:ascii="Arial" w:hAnsi="Arial" w:cs="Arial"/>
                <w:sz w:val="18"/>
                <w:szCs w:val="18"/>
                <w:lang w:val="en-US"/>
              </w:rPr>
            </w:pPr>
            <w:r w:rsidRPr="0074469A">
              <w:rPr>
                <w:rFonts w:ascii="Arial" w:hAnsi="Arial" w:cs="Arial"/>
                <w:sz w:val="18"/>
                <w:szCs w:val="18"/>
                <w:lang w:val="en-US"/>
              </w:rPr>
              <w:t>8.9.2016</w:t>
            </w:r>
          </w:p>
        </w:tc>
        <w:tc>
          <w:tcPr>
            <w:tcW w:w="1984" w:type="dxa"/>
          </w:tcPr>
          <w:p w14:paraId="04FBD89F" w14:textId="77777777" w:rsidR="00CC0E66" w:rsidRPr="0074469A" w:rsidRDefault="00CC0E66" w:rsidP="006B3BFC">
            <w:pPr>
              <w:rPr>
                <w:rFonts w:ascii="Arial" w:hAnsi="Arial" w:cs="Arial"/>
                <w:sz w:val="18"/>
                <w:szCs w:val="18"/>
              </w:rPr>
            </w:pPr>
            <w:r w:rsidRPr="0074469A">
              <w:rPr>
                <w:rFonts w:ascii="Arial" w:hAnsi="Arial" w:cs="Arial"/>
                <w:sz w:val="18"/>
                <w:szCs w:val="18"/>
              </w:rPr>
              <w:t>Sosiaalisten oikeuksien komitea todennut rikkomuksen, mutta sitä ei ole vielä korjattu.</w:t>
            </w:r>
          </w:p>
        </w:tc>
        <w:tc>
          <w:tcPr>
            <w:tcW w:w="4394" w:type="dxa"/>
          </w:tcPr>
          <w:p w14:paraId="4CB1F4F9" w14:textId="77777777" w:rsidR="00CC0E66" w:rsidRPr="0074469A" w:rsidRDefault="00CC0E66" w:rsidP="006B3BFC">
            <w:pPr>
              <w:rPr>
                <w:rFonts w:ascii="Arial" w:hAnsi="Arial" w:cs="Arial"/>
                <w:sz w:val="18"/>
                <w:szCs w:val="18"/>
              </w:rPr>
            </w:pPr>
            <w:r w:rsidRPr="0074469A">
              <w:rPr>
                <w:rFonts w:ascii="Arial" w:hAnsi="Arial" w:cs="Arial"/>
                <w:sz w:val="18"/>
                <w:szCs w:val="18"/>
              </w:rPr>
              <w:t xml:space="preserve">Komitea totesi </w:t>
            </w:r>
            <w:r w:rsidRPr="0074469A">
              <w:rPr>
                <w:rFonts w:ascii="Arial" w:hAnsi="Arial" w:cs="Arial"/>
                <w:b/>
                <w:bCs/>
                <w:sz w:val="18"/>
                <w:szCs w:val="18"/>
              </w:rPr>
              <w:t>artiklan 24</w:t>
            </w:r>
            <w:r w:rsidRPr="0074469A">
              <w:rPr>
                <w:rFonts w:ascii="Arial" w:hAnsi="Arial" w:cs="Arial"/>
                <w:sz w:val="18"/>
                <w:szCs w:val="18"/>
              </w:rPr>
              <w:t xml:space="preserve"> rikkomuksen, koska laittoman irtisanomisen perusteella maksettavan korvauksen maksimimäärä ei aina ole riittävässä suhteessa aiheutettuun menetykseen. Laki ei myöskään mahdollista työsuhteen palauttamista näissä tapauksissa. Lainsäädäntö perustuu kolmikantaratkaisuun eikä hallitus katso, että sitä tulisi muuttaa.</w:t>
            </w:r>
          </w:p>
        </w:tc>
        <w:tc>
          <w:tcPr>
            <w:tcW w:w="3793" w:type="dxa"/>
          </w:tcPr>
          <w:p w14:paraId="620FCA8C" w14:textId="77777777" w:rsidR="00CC0E66" w:rsidRPr="0074469A" w:rsidRDefault="00CC0E66" w:rsidP="006B3BFC">
            <w:pPr>
              <w:rPr>
                <w:rFonts w:ascii="Arial" w:hAnsi="Arial" w:cs="Arial"/>
                <w:sz w:val="18"/>
                <w:szCs w:val="18"/>
              </w:rPr>
            </w:pPr>
            <w:r w:rsidRPr="0074469A">
              <w:rPr>
                <w:rFonts w:ascii="Arial" w:hAnsi="Arial" w:cs="Arial"/>
                <w:sz w:val="18"/>
                <w:szCs w:val="18"/>
              </w:rPr>
              <w:t>Komitea katsoi, että ratkaisun perusteella ei ole ryhdytty mihinkään toimiin (niin korvauksen kuin työsuhteen palauttamisen osalta).</w:t>
            </w:r>
          </w:p>
          <w:p w14:paraId="12DA51C0" w14:textId="77777777" w:rsidR="00CC0E66" w:rsidRPr="0074469A" w:rsidRDefault="00CC0E66" w:rsidP="006B3BFC">
            <w:pPr>
              <w:rPr>
                <w:rFonts w:ascii="Arial" w:hAnsi="Arial" w:cs="Arial"/>
                <w:sz w:val="18"/>
                <w:szCs w:val="18"/>
              </w:rPr>
            </w:pPr>
          </w:p>
          <w:p w14:paraId="5C7EF403" w14:textId="77777777" w:rsidR="00CC0E66" w:rsidRPr="0074469A" w:rsidRDefault="00CC0E66" w:rsidP="006B3BFC">
            <w:pPr>
              <w:rPr>
                <w:rFonts w:ascii="Arial" w:hAnsi="Arial" w:cs="Arial"/>
                <w:sz w:val="18"/>
                <w:szCs w:val="18"/>
              </w:rPr>
            </w:pPr>
          </w:p>
        </w:tc>
      </w:tr>
      <w:tr w:rsidR="008005DC" w:rsidRPr="0074469A" w14:paraId="50BA117B" w14:textId="77777777" w:rsidTr="008005DC">
        <w:tc>
          <w:tcPr>
            <w:tcW w:w="2689" w:type="dxa"/>
          </w:tcPr>
          <w:p w14:paraId="4F523E4B" w14:textId="77777777" w:rsidR="00CC0E66" w:rsidRPr="0074469A" w:rsidRDefault="00CC0E66" w:rsidP="006B3BFC">
            <w:pPr>
              <w:rPr>
                <w:rFonts w:ascii="Arial" w:hAnsi="Arial" w:cs="Arial"/>
                <w:sz w:val="18"/>
                <w:szCs w:val="18"/>
                <w:lang w:val="en-US"/>
              </w:rPr>
            </w:pPr>
            <w:r w:rsidRPr="0074469A">
              <w:rPr>
                <w:rFonts w:ascii="Arial" w:hAnsi="Arial" w:cs="Arial"/>
                <w:b/>
                <w:bCs/>
                <w:sz w:val="18"/>
                <w:szCs w:val="18"/>
                <w:lang w:val="en-US"/>
              </w:rPr>
              <w:lastRenderedPageBreak/>
              <w:t>Finnish Society of Social Rights v. Finland</w:t>
            </w:r>
            <w:r w:rsidRPr="0074469A">
              <w:rPr>
                <w:rFonts w:ascii="Arial" w:hAnsi="Arial" w:cs="Arial"/>
                <w:sz w:val="18"/>
                <w:szCs w:val="18"/>
                <w:lang w:val="en-US"/>
              </w:rPr>
              <w:t xml:space="preserve"> (</w:t>
            </w:r>
            <w:hyperlink r:id="rId11" w:history="1">
              <w:r w:rsidRPr="0074469A">
                <w:rPr>
                  <w:rStyle w:val="Hyperlinkki"/>
                  <w:rFonts w:ascii="Arial" w:hAnsi="Arial" w:cs="Arial"/>
                  <w:sz w:val="18"/>
                  <w:szCs w:val="18"/>
                  <w:lang w:val="en-US"/>
                </w:rPr>
                <w:t>valitus nro. 108/2014</w:t>
              </w:r>
            </w:hyperlink>
            <w:r w:rsidRPr="0074469A">
              <w:rPr>
                <w:rFonts w:ascii="Arial" w:hAnsi="Arial" w:cs="Arial"/>
                <w:sz w:val="18"/>
                <w:szCs w:val="18"/>
                <w:lang w:val="en-US"/>
              </w:rPr>
              <w:t>)</w:t>
            </w:r>
          </w:p>
          <w:p w14:paraId="212CB00B" w14:textId="77777777" w:rsidR="00CC0E66" w:rsidRPr="0074469A" w:rsidRDefault="00CC0E66" w:rsidP="006B3BFC">
            <w:pPr>
              <w:rPr>
                <w:rFonts w:ascii="Arial" w:hAnsi="Arial" w:cs="Arial"/>
                <w:sz w:val="18"/>
                <w:szCs w:val="18"/>
                <w:lang w:val="en-US"/>
              </w:rPr>
            </w:pPr>
          </w:p>
          <w:p w14:paraId="4A6A65F2" w14:textId="77777777" w:rsidR="00CC0E66" w:rsidRPr="0074469A" w:rsidRDefault="00CC0E66" w:rsidP="006B3BFC">
            <w:pPr>
              <w:rPr>
                <w:rFonts w:ascii="Arial" w:hAnsi="Arial" w:cs="Arial"/>
                <w:sz w:val="18"/>
                <w:szCs w:val="18"/>
              </w:rPr>
            </w:pPr>
            <w:r w:rsidRPr="0074469A">
              <w:rPr>
                <w:rFonts w:ascii="Arial" w:hAnsi="Arial" w:cs="Arial"/>
                <w:sz w:val="18"/>
                <w:szCs w:val="18"/>
              </w:rPr>
              <w:t xml:space="preserve">-sos. komitean </w:t>
            </w:r>
            <w:r>
              <w:rPr>
                <w:rFonts w:ascii="Arial" w:hAnsi="Arial" w:cs="Arial"/>
                <w:sz w:val="18"/>
                <w:szCs w:val="18"/>
              </w:rPr>
              <w:t>3</w:t>
            </w:r>
            <w:r w:rsidRPr="0074469A">
              <w:rPr>
                <w:rFonts w:ascii="Arial" w:hAnsi="Arial" w:cs="Arial"/>
                <w:sz w:val="18"/>
                <w:szCs w:val="18"/>
              </w:rPr>
              <w:t>. tarkastelu seurannasta vuodelta 202</w:t>
            </w:r>
            <w:r>
              <w:rPr>
                <w:rFonts w:ascii="Arial" w:hAnsi="Arial" w:cs="Arial"/>
                <w:sz w:val="18"/>
                <w:szCs w:val="18"/>
              </w:rPr>
              <w:t>1</w:t>
            </w:r>
          </w:p>
        </w:tc>
        <w:tc>
          <w:tcPr>
            <w:tcW w:w="1134" w:type="dxa"/>
          </w:tcPr>
          <w:p w14:paraId="6ED5C77C" w14:textId="77777777" w:rsidR="00CC0E66" w:rsidRPr="0074469A" w:rsidRDefault="00CC0E66" w:rsidP="006B3BFC">
            <w:pPr>
              <w:rPr>
                <w:rFonts w:ascii="Arial" w:hAnsi="Arial" w:cs="Arial"/>
                <w:sz w:val="18"/>
                <w:szCs w:val="18"/>
                <w:lang w:val="en-US"/>
              </w:rPr>
            </w:pPr>
            <w:r w:rsidRPr="0074469A">
              <w:rPr>
                <w:rFonts w:ascii="Arial" w:hAnsi="Arial" w:cs="Arial"/>
                <w:sz w:val="18"/>
                <w:szCs w:val="18"/>
                <w:lang w:val="en-US"/>
              </w:rPr>
              <w:t>8.12.2016</w:t>
            </w:r>
          </w:p>
        </w:tc>
        <w:tc>
          <w:tcPr>
            <w:tcW w:w="1984" w:type="dxa"/>
          </w:tcPr>
          <w:p w14:paraId="1A52C055" w14:textId="77777777" w:rsidR="00CC0E66" w:rsidRPr="0074469A" w:rsidRDefault="00CC0E66" w:rsidP="006B3BFC">
            <w:pPr>
              <w:rPr>
                <w:rFonts w:ascii="Arial" w:hAnsi="Arial" w:cs="Arial"/>
                <w:sz w:val="18"/>
                <w:szCs w:val="18"/>
              </w:rPr>
            </w:pPr>
            <w:r w:rsidRPr="0074469A">
              <w:rPr>
                <w:rFonts w:ascii="Arial" w:hAnsi="Arial" w:cs="Arial"/>
                <w:sz w:val="18"/>
                <w:szCs w:val="18"/>
              </w:rPr>
              <w:t>Sosiaalisten oikeuksien komitea todennut rikkomuksen, mutta sitä ei ole vielä korjattu.</w:t>
            </w:r>
          </w:p>
        </w:tc>
        <w:tc>
          <w:tcPr>
            <w:tcW w:w="4394" w:type="dxa"/>
          </w:tcPr>
          <w:p w14:paraId="625DD779" w14:textId="77777777" w:rsidR="00CC0E66" w:rsidRDefault="00CC0E66" w:rsidP="006B3BFC">
            <w:pPr>
              <w:rPr>
                <w:rFonts w:ascii="Arial" w:hAnsi="Arial" w:cs="Arial"/>
                <w:sz w:val="18"/>
                <w:szCs w:val="18"/>
              </w:rPr>
            </w:pPr>
            <w:r w:rsidRPr="0074469A">
              <w:rPr>
                <w:rFonts w:ascii="Arial" w:hAnsi="Arial" w:cs="Arial"/>
                <w:b/>
                <w:bCs/>
                <w:sz w:val="18"/>
                <w:szCs w:val="18"/>
              </w:rPr>
              <w:t>artikla 13</w:t>
            </w:r>
            <w:r w:rsidRPr="0074469A">
              <w:rPr>
                <w:rFonts w:ascii="Arial" w:hAnsi="Arial" w:cs="Arial"/>
                <w:sz w:val="18"/>
                <w:szCs w:val="18"/>
              </w:rPr>
              <w:t xml:space="preserve"> työmarkkinatuki yksin ja yhdessä muiden etuuksien (esim. asumistuki ja toimeentulotuki) kanssa ei ollut riittävä edunsaajien perustarpeiden kattamiseen. Hallituksen mukaan eri etuudet yhdessä mahdollistavat perustoimeentulon. Mm. asumistukea on uudistettu vuonna 2015 vähentämällä sen laskemisessa huomioitavia vähennyksiä.</w:t>
            </w:r>
          </w:p>
          <w:p w14:paraId="73A94016" w14:textId="77777777" w:rsidR="007E24E5" w:rsidRPr="0074469A" w:rsidRDefault="007E24E5" w:rsidP="006B3BFC">
            <w:pPr>
              <w:rPr>
                <w:rFonts w:ascii="Arial" w:hAnsi="Arial" w:cs="Arial"/>
                <w:sz w:val="18"/>
                <w:szCs w:val="18"/>
              </w:rPr>
            </w:pPr>
          </w:p>
        </w:tc>
        <w:tc>
          <w:tcPr>
            <w:tcW w:w="3793" w:type="dxa"/>
          </w:tcPr>
          <w:p w14:paraId="3F0C8993" w14:textId="77777777" w:rsidR="00CC0E66" w:rsidRPr="0074469A" w:rsidRDefault="00CC0E66" w:rsidP="006B3BFC">
            <w:pPr>
              <w:rPr>
                <w:rFonts w:ascii="Arial" w:hAnsi="Arial" w:cs="Arial"/>
                <w:sz w:val="18"/>
                <w:szCs w:val="18"/>
              </w:rPr>
            </w:pPr>
            <w:r w:rsidRPr="0074469A">
              <w:rPr>
                <w:rFonts w:ascii="Arial" w:hAnsi="Arial" w:cs="Arial"/>
                <w:sz w:val="18"/>
                <w:szCs w:val="18"/>
              </w:rPr>
              <w:t>Komitea katsoo, ettei riittäviin toimiin ole ryhdytty työmarkkinatuen nostamiseksi riittävälle tasolle yksinään tai yhdessä asumistuen kanssa. Hallitus ei myöskään ole riittävästi osoittanut, että etuudet yhdessäkään parantaisivat työmarkkinatuen saajien tilannetta.</w:t>
            </w:r>
          </w:p>
          <w:p w14:paraId="5F06905C" w14:textId="77777777" w:rsidR="00CC0E66" w:rsidRPr="0074469A" w:rsidRDefault="00CC0E66" w:rsidP="006B3BFC">
            <w:pPr>
              <w:rPr>
                <w:rFonts w:ascii="Arial" w:hAnsi="Arial" w:cs="Arial"/>
                <w:sz w:val="18"/>
                <w:szCs w:val="18"/>
              </w:rPr>
            </w:pPr>
          </w:p>
          <w:p w14:paraId="19DD0FF6" w14:textId="77777777" w:rsidR="00CC0E66" w:rsidRPr="0074469A" w:rsidRDefault="00CC0E66" w:rsidP="006B3BFC">
            <w:pPr>
              <w:rPr>
                <w:rFonts w:ascii="Arial" w:hAnsi="Arial" w:cs="Arial"/>
                <w:sz w:val="18"/>
                <w:szCs w:val="18"/>
              </w:rPr>
            </w:pPr>
          </w:p>
        </w:tc>
      </w:tr>
      <w:tr w:rsidR="008005DC" w:rsidRPr="0074469A" w14:paraId="148989A8" w14:textId="77777777" w:rsidTr="008005DC">
        <w:tc>
          <w:tcPr>
            <w:tcW w:w="2689" w:type="dxa"/>
          </w:tcPr>
          <w:p w14:paraId="0D3D6F9B" w14:textId="347D16DB" w:rsidR="00CC0E66" w:rsidRPr="0074469A" w:rsidRDefault="00CC0E66" w:rsidP="006B3BFC">
            <w:pPr>
              <w:rPr>
                <w:rFonts w:ascii="Arial" w:hAnsi="Arial" w:cs="Arial"/>
                <w:sz w:val="18"/>
                <w:szCs w:val="18"/>
                <w:lang w:val="en-US"/>
              </w:rPr>
            </w:pPr>
            <w:r w:rsidRPr="0074469A">
              <w:rPr>
                <w:rFonts w:ascii="Arial" w:hAnsi="Arial" w:cs="Arial"/>
                <w:b/>
                <w:bCs/>
                <w:sz w:val="18"/>
                <w:szCs w:val="18"/>
                <w:lang w:val="en-US"/>
              </w:rPr>
              <w:t>University Women of Europe (UWE) v. Finland</w:t>
            </w:r>
            <w:r w:rsidR="009239F1">
              <w:rPr>
                <w:rStyle w:val="Alaviitteenviite"/>
                <w:rFonts w:ascii="Arial" w:hAnsi="Arial" w:cs="Arial"/>
                <w:b/>
                <w:bCs/>
                <w:sz w:val="18"/>
                <w:szCs w:val="18"/>
                <w:lang w:val="en-US"/>
              </w:rPr>
              <w:footnoteReference w:id="2"/>
            </w:r>
            <w:r w:rsidRPr="0074469A">
              <w:rPr>
                <w:rFonts w:ascii="Arial" w:hAnsi="Arial" w:cs="Arial"/>
                <w:sz w:val="18"/>
                <w:szCs w:val="18"/>
                <w:lang w:val="en-US"/>
              </w:rPr>
              <w:t xml:space="preserve"> (</w:t>
            </w:r>
            <w:hyperlink r:id="rId12" w:history="1">
              <w:r w:rsidRPr="0074469A">
                <w:rPr>
                  <w:rStyle w:val="Hyperlinkki"/>
                  <w:rFonts w:ascii="Arial" w:hAnsi="Arial" w:cs="Arial"/>
                  <w:sz w:val="18"/>
                  <w:szCs w:val="18"/>
                  <w:lang w:val="en-US"/>
                </w:rPr>
                <w:t>valitus nro. 129/2016</w:t>
              </w:r>
            </w:hyperlink>
            <w:r w:rsidRPr="0074469A">
              <w:rPr>
                <w:rFonts w:ascii="Arial" w:hAnsi="Arial" w:cs="Arial"/>
                <w:sz w:val="18"/>
                <w:szCs w:val="18"/>
                <w:lang w:val="en-US"/>
              </w:rPr>
              <w:t>)</w:t>
            </w:r>
          </w:p>
          <w:p w14:paraId="08EF5192" w14:textId="77777777" w:rsidR="00CC0E66" w:rsidRPr="0074469A" w:rsidRDefault="00CC0E66" w:rsidP="006B3BFC">
            <w:pPr>
              <w:rPr>
                <w:rFonts w:ascii="Arial" w:hAnsi="Arial" w:cs="Arial"/>
                <w:sz w:val="18"/>
                <w:szCs w:val="18"/>
                <w:lang w:val="en-US"/>
              </w:rPr>
            </w:pPr>
          </w:p>
          <w:p w14:paraId="601913B9" w14:textId="77777777" w:rsidR="00CC0E66" w:rsidRPr="0074469A" w:rsidRDefault="00CC0E66" w:rsidP="006B3BFC">
            <w:pPr>
              <w:rPr>
                <w:rFonts w:ascii="Arial" w:hAnsi="Arial" w:cs="Arial"/>
                <w:sz w:val="18"/>
                <w:szCs w:val="18"/>
              </w:rPr>
            </w:pPr>
            <w:r w:rsidRPr="0074469A">
              <w:rPr>
                <w:rFonts w:ascii="Arial" w:hAnsi="Arial" w:cs="Arial"/>
                <w:sz w:val="18"/>
                <w:szCs w:val="18"/>
              </w:rPr>
              <w:t xml:space="preserve">-ministerikomitean suositus </w:t>
            </w:r>
            <w:hyperlink r:id="rId13" w:history="1">
              <w:r w:rsidRPr="0074469A">
                <w:rPr>
                  <w:rStyle w:val="Hyperlinkki"/>
                  <w:rFonts w:ascii="Arial" w:hAnsi="Arial" w:cs="Arial"/>
                  <w:sz w:val="18"/>
                  <w:szCs w:val="18"/>
                </w:rPr>
                <w:t>CM/RecChS(2021)6</w:t>
              </w:r>
            </w:hyperlink>
            <w:r w:rsidRPr="0074469A">
              <w:rPr>
                <w:rFonts w:ascii="Arial" w:hAnsi="Arial" w:cs="Arial"/>
                <w:sz w:val="18"/>
                <w:szCs w:val="18"/>
              </w:rPr>
              <w:t xml:space="preserve">, 17.3.2021 </w:t>
            </w:r>
          </w:p>
        </w:tc>
        <w:tc>
          <w:tcPr>
            <w:tcW w:w="1134" w:type="dxa"/>
          </w:tcPr>
          <w:p w14:paraId="3D167733" w14:textId="77777777" w:rsidR="00CC0E66" w:rsidRPr="0074469A" w:rsidRDefault="00CC0E66" w:rsidP="006B3BFC">
            <w:pPr>
              <w:rPr>
                <w:rFonts w:ascii="Arial" w:hAnsi="Arial" w:cs="Arial"/>
                <w:sz w:val="18"/>
                <w:szCs w:val="18"/>
                <w:lang w:val="en-US"/>
              </w:rPr>
            </w:pPr>
            <w:r w:rsidRPr="0074469A">
              <w:rPr>
                <w:rFonts w:ascii="Arial" w:hAnsi="Arial" w:cs="Arial"/>
                <w:sz w:val="18"/>
                <w:szCs w:val="18"/>
                <w:lang w:val="en-US"/>
              </w:rPr>
              <w:t>6.12.2019</w:t>
            </w:r>
          </w:p>
        </w:tc>
        <w:tc>
          <w:tcPr>
            <w:tcW w:w="1984" w:type="dxa"/>
          </w:tcPr>
          <w:p w14:paraId="21E7B4F3" w14:textId="77777777" w:rsidR="00CC0E66" w:rsidRPr="0074469A" w:rsidRDefault="00CC0E66" w:rsidP="006B3BFC">
            <w:pPr>
              <w:rPr>
                <w:rFonts w:ascii="Arial" w:hAnsi="Arial" w:cs="Arial"/>
                <w:sz w:val="18"/>
                <w:szCs w:val="18"/>
              </w:rPr>
            </w:pPr>
            <w:r w:rsidRPr="0074469A">
              <w:rPr>
                <w:rFonts w:ascii="Arial" w:hAnsi="Arial" w:cs="Arial"/>
                <w:sz w:val="18"/>
                <w:szCs w:val="18"/>
              </w:rPr>
              <w:t>Sosiaalisten oikeuksien komitea todennut rikkomuksen, mutta sitä ei ole vielä korjattu.</w:t>
            </w:r>
          </w:p>
        </w:tc>
        <w:tc>
          <w:tcPr>
            <w:tcW w:w="4394" w:type="dxa"/>
          </w:tcPr>
          <w:p w14:paraId="7D3F48F2" w14:textId="77777777" w:rsidR="00CC0E66" w:rsidRDefault="00CC0E66" w:rsidP="006B3BFC">
            <w:pPr>
              <w:rPr>
                <w:rFonts w:ascii="Arial" w:hAnsi="Arial" w:cs="Arial"/>
                <w:sz w:val="18"/>
                <w:szCs w:val="18"/>
              </w:rPr>
            </w:pPr>
            <w:r w:rsidRPr="0074469A">
              <w:rPr>
                <w:rFonts w:ascii="Arial" w:hAnsi="Arial" w:cs="Arial"/>
                <w:sz w:val="18"/>
                <w:szCs w:val="18"/>
              </w:rPr>
              <w:t xml:space="preserve">Komitea totesi </w:t>
            </w:r>
            <w:r w:rsidRPr="0074469A">
              <w:rPr>
                <w:rFonts w:ascii="Arial" w:hAnsi="Arial" w:cs="Arial"/>
                <w:b/>
                <w:bCs/>
                <w:sz w:val="18"/>
                <w:szCs w:val="18"/>
              </w:rPr>
              <w:t>artiklan 4§ (3)</w:t>
            </w:r>
            <w:r w:rsidRPr="0074469A">
              <w:rPr>
                <w:rFonts w:ascii="Arial" w:hAnsi="Arial" w:cs="Arial"/>
                <w:sz w:val="18"/>
                <w:szCs w:val="18"/>
              </w:rPr>
              <w:t xml:space="preserve"> rikkomuksen, koska lainsäädäntö ei mahdollista tehokkaiden oikeussuojakeinojen käyttöä, kun siinä ei säädetä työsuhteen palauttamisesta, jos henkilö on erotettu työstään hänen tehtyään valituksen tasa-arvoisesta palkasta. </w:t>
            </w:r>
            <w:r w:rsidRPr="00CD76C5">
              <w:rPr>
                <w:rFonts w:ascii="Arial" w:hAnsi="Arial" w:cs="Arial"/>
                <w:b/>
                <w:bCs/>
                <w:sz w:val="18"/>
                <w:szCs w:val="18"/>
              </w:rPr>
              <w:t>Artiklan 20</w:t>
            </w:r>
            <w:r w:rsidRPr="0074469A">
              <w:rPr>
                <w:rFonts w:ascii="Arial" w:hAnsi="Arial" w:cs="Arial"/>
                <w:sz w:val="18"/>
                <w:szCs w:val="18"/>
              </w:rPr>
              <w:t xml:space="preserve"> osalta komitea totesi rikkomuksen, koska Suomi ei ole tehnyt tarvittavia toimenpiteitä edistääkseen artiklan soveltamista, liittyen oikeuteen tasa-arvoisiin mahdollisuuksiin ja tasa-arvoiseen kohteluun miesten ja naisten välillä työstä maksettavan korvauksen osalta.</w:t>
            </w:r>
          </w:p>
          <w:p w14:paraId="51158473" w14:textId="77777777" w:rsidR="007E24E5" w:rsidRPr="0074469A" w:rsidRDefault="007E24E5" w:rsidP="006B3BFC">
            <w:pPr>
              <w:rPr>
                <w:rFonts w:ascii="Arial" w:hAnsi="Arial" w:cs="Arial"/>
                <w:sz w:val="18"/>
                <w:szCs w:val="18"/>
              </w:rPr>
            </w:pPr>
          </w:p>
        </w:tc>
        <w:tc>
          <w:tcPr>
            <w:tcW w:w="3793" w:type="dxa"/>
          </w:tcPr>
          <w:p w14:paraId="41871621" w14:textId="77777777" w:rsidR="00CC0E66" w:rsidRPr="0074469A" w:rsidRDefault="00CC0E66" w:rsidP="006B3BFC">
            <w:pPr>
              <w:rPr>
                <w:rFonts w:ascii="Arial" w:hAnsi="Arial" w:cs="Arial"/>
                <w:sz w:val="18"/>
                <w:szCs w:val="18"/>
              </w:rPr>
            </w:pPr>
            <w:r w:rsidRPr="0074469A">
              <w:rPr>
                <w:rFonts w:ascii="Arial" w:hAnsi="Arial" w:cs="Arial"/>
                <w:sz w:val="18"/>
                <w:szCs w:val="18"/>
              </w:rPr>
              <w:t>Ministerikomitea suosittaa, että Suomi:</w:t>
            </w:r>
          </w:p>
          <w:p w14:paraId="7668CE78" w14:textId="77777777" w:rsidR="00CC0E66" w:rsidRPr="0074469A" w:rsidRDefault="00CC0E66" w:rsidP="006B3BFC">
            <w:pPr>
              <w:rPr>
                <w:rFonts w:ascii="Arial" w:hAnsi="Arial" w:cs="Arial"/>
                <w:sz w:val="18"/>
                <w:szCs w:val="18"/>
              </w:rPr>
            </w:pPr>
          </w:p>
          <w:p w14:paraId="2DC5D3AC" w14:textId="77777777" w:rsidR="00CC0E66" w:rsidRPr="0074469A" w:rsidRDefault="00CC0E66" w:rsidP="006B3BFC">
            <w:pPr>
              <w:rPr>
                <w:rFonts w:ascii="Arial" w:hAnsi="Arial" w:cs="Arial"/>
                <w:sz w:val="18"/>
                <w:szCs w:val="18"/>
              </w:rPr>
            </w:pPr>
            <w:r w:rsidRPr="0074469A">
              <w:rPr>
                <w:rFonts w:ascii="Arial" w:hAnsi="Arial" w:cs="Arial"/>
                <w:sz w:val="18"/>
                <w:szCs w:val="18"/>
              </w:rPr>
              <w:t>-tarkistaa ja vahvistaa olemassa olevia toimenpiteitä, joilla tavoitellaan sukupuolten välisten palkkaerojen vähentämistä ja poistamista ja harkitsee uusien toimenpiteiden, joilla on mahdollista saavuttaa merkittävää edistystä kohtuullisen ajan kuluessa hyväksymistä tähän liittyen;</w:t>
            </w:r>
          </w:p>
          <w:p w14:paraId="19562D8D" w14:textId="77777777" w:rsidR="00CC0E66" w:rsidRPr="0074469A" w:rsidRDefault="00CC0E66" w:rsidP="006B3BFC">
            <w:pPr>
              <w:rPr>
                <w:rFonts w:ascii="Arial" w:hAnsi="Arial" w:cs="Arial"/>
                <w:sz w:val="18"/>
                <w:szCs w:val="18"/>
              </w:rPr>
            </w:pPr>
          </w:p>
          <w:p w14:paraId="1A1E3951" w14:textId="77777777" w:rsidR="00CC0E66" w:rsidRPr="0074469A" w:rsidRDefault="00CC0E66" w:rsidP="006B3BFC">
            <w:pPr>
              <w:rPr>
                <w:rFonts w:ascii="Arial" w:hAnsi="Arial" w:cs="Arial"/>
                <w:sz w:val="18"/>
                <w:szCs w:val="18"/>
              </w:rPr>
            </w:pPr>
            <w:r w:rsidRPr="0074469A">
              <w:rPr>
                <w:rFonts w:ascii="Arial" w:hAnsi="Arial" w:cs="Arial"/>
                <w:sz w:val="18"/>
                <w:szCs w:val="18"/>
              </w:rPr>
              <w:t>-osoittaa päätökset ja toimet, joihin on ryhdytty tämän suosituksen noudattamiseksi seuraavassa järjestökanteluiden seurantaa koskevassa raportissa (31.10.2022).</w:t>
            </w:r>
          </w:p>
        </w:tc>
      </w:tr>
      <w:tr w:rsidR="008005DC" w:rsidRPr="0074469A" w14:paraId="55DFB0A3" w14:textId="77777777" w:rsidTr="008005DC">
        <w:tc>
          <w:tcPr>
            <w:tcW w:w="2689" w:type="dxa"/>
          </w:tcPr>
          <w:p w14:paraId="7B72B277" w14:textId="4577A60A" w:rsidR="00CC0E66" w:rsidRPr="0074469A" w:rsidRDefault="00CC0E66" w:rsidP="006B3BFC">
            <w:pPr>
              <w:rPr>
                <w:rFonts w:ascii="Arial" w:hAnsi="Arial" w:cs="Arial"/>
                <w:sz w:val="18"/>
                <w:szCs w:val="18"/>
                <w:lang w:val="en-US"/>
              </w:rPr>
            </w:pPr>
            <w:r w:rsidRPr="0074469A">
              <w:rPr>
                <w:rFonts w:ascii="Arial" w:hAnsi="Arial" w:cs="Arial"/>
                <w:b/>
                <w:bCs/>
                <w:sz w:val="18"/>
                <w:szCs w:val="18"/>
                <w:lang w:val="en-US"/>
              </w:rPr>
              <w:t>Central Union for Child Welfare (CUCW) v. Finland</w:t>
            </w:r>
            <w:r w:rsidR="009239F1">
              <w:rPr>
                <w:rStyle w:val="Alaviitteenviite"/>
                <w:rFonts w:ascii="Arial" w:hAnsi="Arial" w:cs="Arial"/>
                <w:b/>
                <w:bCs/>
                <w:sz w:val="18"/>
                <w:szCs w:val="18"/>
                <w:lang w:val="en-US"/>
              </w:rPr>
              <w:footnoteReference w:id="3"/>
            </w:r>
            <w:r w:rsidRPr="0074469A">
              <w:rPr>
                <w:rFonts w:ascii="Arial" w:hAnsi="Arial" w:cs="Arial"/>
                <w:sz w:val="18"/>
                <w:szCs w:val="18"/>
                <w:lang w:val="en-US"/>
              </w:rPr>
              <w:t xml:space="preserve"> (</w:t>
            </w:r>
            <w:hyperlink r:id="rId14" w:history="1">
              <w:r w:rsidRPr="0074469A">
                <w:rPr>
                  <w:rStyle w:val="Hyperlinkki"/>
                  <w:rFonts w:ascii="Arial" w:hAnsi="Arial" w:cs="Arial"/>
                  <w:sz w:val="18"/>
                  <w:szCs w:val="18"/>
                  <w:lang w:val="en-US"/>
                </w:rPr>
                <w:t>valitus nro. 139/2016</w:t>
              </w:r>
            </w:hyperlink>
            <w:r w:rsidRPr="0074469A">
              <w:rPr>
                <w:rFonts w:ascii="Arial" w:hAnsi="Arial" w:cs="Arial"/>
                <w:sz w:val="18"/>
                <w:szCs w:val="18"/>
                <w:lang w:val="en-US"/>
              </w:rPr>
              <w:t>)</w:t>
            </w:r>
          </w:p>
          <w:p w14:paraId="7A358786" w14:textId="77777777" w:rsidR="00CC0E66" w:rsidRPr="0074469A" w:rsidRDefault="00CC0E66" w:rsidP="006B3BFC">
            <w:pPr>
              <w:rPr>
                <w:rFonts w:ascii="Arial" w:hAnsi="Arial" w:cs="Arial"/>
                <w:sz w:val="18"/>
                <w:szCs w:val="18"/>
                <w:lang w:val="en-US"/>
              </w:rPr>
            </w:pPr>
          </w:p>
          <w:p w14:paraId="729D091A" w14:textId="77777777" w:rsidR="00CC0E66" w:rsidRPr="0074469A" w:rsidRDefault="00CC0E66" w:rsidP="006B3BFC">
            <w:pPr>
              <w:rPr>
                <w:rFonts w:ascii="Arial" w:hAnsi="Arial" w:cs="Arial"/>
                <w:sz w:val="18"/>
                <w:szCs w:val="18"/>
                <w:lang w:val="en-US"/>
              </w:rPr>
            </w:pPr>
            <w:r w:rsidRPr="0074469A">
              <w:rPr>
                <w:rFonts w:ascii="Arial" w:hAnsi="Arial" w:cs="Arial"/>
                <w:sz w:val="18"/>
                <w:szCs w:val="18"/>
                <w:lang w:val="en-US"/>
              </w:rPr>
              <w:t xml:space="preserve">-päätöslauselma </w:t>
            </w:r>
            <w:hyperlink r:id="rId15" w:history="1">
              <w:r w:rsidRPr="0074469A">
                <w:rPr>
                  <w:rStyle w:val="Hyperlinkki"/>
                  <w:rFonts w:ascii="Arial" w:hAnsi="Arial" w:cs="Arial"/>
                  <w:sz w:val="18"/>
                  <w:szCs w:val="18"/>
                  <w:lang w:val="en-US"/>
                </w:rPr>
                <w:t>CM/ResChS(2020)3</w:t>
              </w:r>
            </w:hyperlink>
            <w:r w:rsidRPr="0074469A">
              <w:rPr>
                <w:rFonts w:ascii="Arial" w:hAnsi="Arial" w:cs="Arial"/>
                <w:sz w:val="18"/>
                <w:szCs w:val="18"/>
                <w:lang w:val="en-US"/>
              </w:rPr>
              <w:t>, 11.3.2020</w:t>
            </w:r>
          </w:p>
        </w:tc>
        <w:tc>
          <w:tcPr>
            <w:tcW w:w="1134" w:type="dxa"/>
          </w:tcPr>
          <w:p w14:paraId="0D731A2B" w14:textId="77777777" w:rsidR="00CC0E66" w:rsidRPr="0074469A" w:rsidRDefault="00CC0E66" w:rsidP="006B3BFC">
            <w:pPr>
              <w:rPr>
                <w:rFonts w:ascii="Arial" w:hAnsi="Arial" w:cs="Arial"/>
                <w:sz w:val="18"/>
                <w:szCs w:val="18"/>
                <w:lang w:val="en-US"/>
              </w:rPr>
            </w:pPr>
            <w:r w:rsidRPr="0074469A">
              <w:rPr>
                <w:rFonts w:ascii="Arial" w:hAnsi="Arial" w:cs="Arial"/>
                <w:sz w:val="18"/>
                <w:szCs w:val="18"/>
                <w:lang w:val="en-US"/>
              </w:rPr>
              <w:t>11.9.2019</w:t>
            </w:r>
          </w:p>
        </w:tc>
        <w:tc>
          <w:tcPr>
            <w:tcW w:w="1984" w:type="dxa"/>
          </w:tcPr>
          <w:p w14:paraId="13BF9082" w14:textId="77777777" w:rsidR="00CC0E66" w:rsidRPr="0074469A" w:rsidRDefault="00CC0E66" w:rsidP="006B3BFC">
            <w:pPr>
              <w:rPr>
                <w:rFonts w:ascii="Arial" w:hAnsi="Arial" w:cs="Arial"/>
                <w:sz w:val="18"/>
                <w:szCs w:val="18"/>
              </w:rPr>
            </w:pPr>
            <w:r w:rsidRPr="0074469A">
              <w:rPr>
                <w:rFonts w:ascii="Arial" w:hAnsi="Arial" w:cs="Arial"/>
                <w:sz w:val="18"/>
                <w:szCs w:val="18"/>
              </w:rPr>
              <w:t>Sosiaalisten oikeuksien komitea todennut rikkomuksen, mutta sitä ei ole vielä korjattu.</w:t>
            </w:r>
          </w:p>
        </w:tc>
        <w:tc>
          <w:tcPr>
            <w:tcW w:w="4394" w:type="dxa"/>
          </w:tcPr>
          <w:p w14:paraId="37177723" w14:textId="77777777" w:rsidR="00CC0E66" w:rsidRPr="0074469A" w:rsidRDefault="00CC0E66" w:rsidP="006B3BFC">
            <w:pPr>
              <w:rPr>
                <w:rFonts w:ascii="Arial" w:hAnsi="Arial" w:cs="Arial"/>
                <w:b/>
                <w:bCs/>
                <w:sz w:val="18"/>
                <w:szCs w:val="18"/>
              </w:rPr>
            </w:pPr>
            <w:r w:rsidRPr="0074469A">
              <w:rPr>
                <w:rFonts w:ascii="Arial" w:hAnsi="Arial" w:cs="Arial"/>
                <w:sz w:val="18"/>
                <w:szCs w:val="18"/>
              </w:rPr>
              <w:t xml:space="preserve">Komitea totesi </w:t>
            </w:r>
            <w:r w:rsidRPr="0074469A">
              <w:rPr>
                <w:rFonts w:ascii="Arial" w:hAnsi="Arial" w:cs="Arial"/>
                <w:b/>
                <w:bCs/>
                <w:sz w:val="18"/>
                <w:szCs w:val="18"/>
              </w:rPr>
              <w:t>artiklojen 16,</w:t>
            </w:r>
          </w:p>
          <w:p w14:paraId="1A423E21" w14:textId="6D9EE5CA" w:rsidR="00FC1EA0" w:rsidRPr="00FC1EA0" w:rsidRDefault="00CC0E66" w:rsidP="006B3BFC">
            <w:pPr>
              <w:rPr>
                <w:rFonts w:ascii="Arial" w:hAnsi="Arial" w:cs="Arial"/>
                <w:sz w:val="18"/>
                <w:szCs w:val="18"/>
              </w:rPr>
            </w:pPr>
            <w:r w:rsidRPr="0074469A">
              <w:rPr>
                <w:rFonts w:ascii="Arial" w:hAnsi="Arial" w:cs="Arial"/>
                <w:b/>
                <w:bCs/>
                <w:sz w:val="18"/>
                <w:szCs w:val="18"/>
              </w:rPr>
              <w:t xml:space="preserve">17 ja 27 </w:t>
            </w:r>
            <w:r w:rsidRPr="0074469A">
              <w:rPr>
                <w:rFonts w:ascii="Arial" w:hAnsi="Arial" w:cs="Arial"/>
                <w:sz w:val="18"/>
                <w:szCs w:val="18"/>
              </w:rPr>
              <w:t xml:space="preserve">rikkomuksen, koska lapset, joiden vanhemmat eivät olleet työssäkäyviä olivat varhaiskasvatuksen osalta eri asemassa kuin lapset, joiden vanhemmat olivat työssäkäyviä eikä erolle ollut objektiivista ja perusteltua syytä. Laissa oli säännös, joka asetti samanlaisessa asemassa olevat perheet erilaiseen asemaan ilman hyväksyttävää perustetta. Hallitus ei ollut pystynyt antamaan hyväksyttäviä syitä vanhempien </w:t>
            </w:r>
            <w:r w:rsidRPr="0074469A">
              <w:rPr>
                <w:rFonts w:ascii="Arial" w:hAnsi="Arial" w:cs="Arial"/>
                <w:sz w:val="18"/>
                <w:szCs w:val="18"/>
              </w:rPr>
              <w:lastRenderedPageBreak/>
              <w:t>erilaiselle kohtelulle lastenhoitoon pääsyn osalta, mistä kärsivät tukea eniten tarvitsevat.</w:t>
            </w:r>
          </w:p>
        </w:tc>
        <w:tc>
          <w:tcPr>
            <w:tcW w:w="3793" w:type="dxa"/>
          </w:tcPr>
          <w:p w14:paraId="4D453AFB" w14:textId="77777777" w:rsidR="00CC0E66" w:rsidRDefault="00CC0E66" w:rsidP="006B3BFC">
            <w:pPr>
              <w:rPr>
                <w:rFonts w:ascii="Arial" w:hAnsi="Arial" w:cs="Arial"/>
                <w:sz w:val="18"/>
                <w:szCs w:val="18"/>
              </w:rPr>
            </w:pPr>
            <w:r w:rsidRPr="0074469A">
              <w:rPr>
                <w:rFonts w:ascii="Arial" w:hAnsi="Arial" w:cs="Arial"/>
                <w:sz w:val="18"/>
                <w:szCs w:val="18"/>
              </w:rPr>
              <w:lastRenderedPageBreak/>
              <w:t>Ministerikomitea ottaa huomioon Suomen viranomaisten esittämät tiedot, erityisesti elokuussa 2020 voimaan tulleet muutokset varhaiskasvatuksessa ja odottaa Suomen raportointia mahdollisesta muusta kehityksestä relevantteihin peruskirjaan liittyvien säännösten osalta seuraavan raportoinnin yhteydessä.</w:t>
            </w:r>
          </w:p>
          <w:p w14:paraId="05621211" w14:textId="77777777" w:rsidR="0028681C" w:rsidRDefault="0028681C" w:rsidP="006B3BFC">
            <w:pPr>
              <w:rPr>
                <w:rFonts w:ascii="Arial" w:hAnsi="Arial" w:cs="Arial"/>
                <w:sz w:val="18"/>
                <w:szCs w:val="18"/>
              </w:rPr>
            </w:pPr>
          </w:p>
          <w:p w14:paraId="693A5ADB" w14:textId="77777777" w:rsidR="00FC1EA0" w:rsidRDefault="0028681C" w:rsidP="006B3BFC">
            <w:pPr>
              <w:rPr>
                <w:rFonts w:ascii="Arial" w:hAnsi="Arial" w:cs="Arial"/>
                <w:sz w:val="18"/>
                <w:szCs w:val="18"/>
              </w:rPr>
            </w:pPr>
            <w:r>
              <w:rPr>
                <w:rFonts w:ascii="Arial" w:hAnsi="Arial" w:cs="Arial"/>
                <w:sz w:val="18"/>
                <w:szCs w:val="18"/>
              </w:rPr>
              <w:t xml:space="preserve">Komitea on arvioinut varhaiskasvatuslaissa 2020 voimaan tulleiden muutosten </w:t>
            </w:r>
            <w:r>
              <w:rPr>
                <w:rFonts w:ascii="Arial" w:hAnsi="Arial" w:cs="Arial"/>
                <w:sz w:val="18"/>
                <w:szCs w:val="18"/>
              </w:rPr>
              <w:lastRenderedPageBreak/>
              <w:t>korjanneen ratkaisussa mainitut puutteet oikeudessa subjektiiviseen päivähoito-oikeuteen.</w:t>
            </w:r>
          </w:p>
          <w:p w14:paraId="1D408DBE" w14:textId="77777777" w:rsidR="00FC1EA0" w:rsidRDefault="00FC1EA0" w:rsidP="006B3BFC">
            <w:pPr>
              <w:rPr>
                <w:rFonts w:ascii="Arial" w:hAnsi="Arial" w:cs="Arial"/>
                <w:b/>
                <w:bCs/>
                <w:sz w:val="18"/>
                <w:szCs w:val="18"/>
              </w:rPr>
            </w:pPr>
          </w:p>
          <w:p w14:paraId="7A56253E" w14:textId="7EBC6A22" w:rsidR="0028681C" w:rsidRPr="0074469A" w:rsidRDefault="0028681C" w:rsidP="006B3BFC">
            <w:pPr>
              <w:rPr>
                <w:rFonts w:ascii="Arial" w:hAnsi="Arial" w:cs="Arial"/>
                <w:sz w:val="18"/>
                <w:szCs w:val="18"/>
              </w:rPr>
            </w:pPr>
            <w:r w:rsidRPr="00FC1EA0">
              <w:rPr>
                <w:rFonts w:ascii="Arial" w:hAnsi="Arial" w:cs="Arial"/>
                <w:b/>
                <w:bCs/>
                <w:sz w:val="18"/>
                <w:szCs w:val="18"/>
              </w:rPr>
              <w:t>Täytäntöönpanon katsotaan tulleen siis valmiiksi, vaikka ministerikomitea ei ole vielä maaliskuussa 2024 sulkenut täytäntöönpanon seurantaa.</w:t>
            </w:r>
          </w:p>
        </w:tc>
      </w:tr>
      <w:tr w:rsidR="008005DC" w:rsidRPr="00473F43" w14:paraId="7220B30A" w14:textId="77777777" w:rsidTr="008005DC">
        <w:trPr>
          <w:trHeight w:val="1925"/>
        </w:trPr>
        <w:tc>
          <w:tcPr>
            <w:tcW w:w="2689" w:type="dxa"/>
          </w:tcPr>
          <w:p w14:paraId="6B816C9C" w14:textId="77777777" w:rsidR="00473F43" w:rsidRPr="00FA350F" w:rsidRDefault="00473F43" w:rsidP="00473F43">
            <w:pPr>
              <w:rPr>
                <w:rFonts w:ascii="Arial" w:hAnsi="Arial" w:cs="Arial"/>
                <w:sz w:val="18"/>
                <w:szCs w:val="18"/>
                <w:lang w:val="en-US"/>
              </w:rPr>
            </w:pPr>
            <w:r w:rsidRPr="00FA350F">
              <w:rPr>
                <w:rFonts w:ascii="Arial" w:hAnsi="Arial" w:cs="Arial"/>
                <w:b/>
                <w:bCs/>
                <w:sz w:val="18"/>
                <w:szCs w:val="18"/>
                <w:lang w:val="en-US"/>
              </w:rPr>
              <w:lastRenderedPageBreak/>
              <w:t>Finnish Society of Social Rights v. Finland</w:t>
            </w:r>
            <w:r w:rsidRPr="00FA350F">
              <w:rPr>
                <w:rFonts w:ascii="Arial" w:hAnsi="Arial" w:cs="Arial"/>
                <w:sz w:val="18"/>
                <w:szCs w:val="18"/>
                <w:lang w:val="en-US"/>
              </w:rPr>
              <w:t xml:space="preserve"> (</w:t>
            </w:r>
            <w:hyperlink r:id="rId16" w:history="1">
              <w:r w:rsidRPr="00FA350F">
                <w:rPr>
                  <w:rStyle w:val="Hyperlinkki"/>
                  <w:rFonts w:ascii="Arial" w:hAnsi="Arial" w:cs="Arial"/>
                  <w:color w:val="auto"/>
                  <w:sz w:val="18"/>
                  <w:szCs w:val="18"/>
                  <w:lang w:val="en-US"/>
                </w:rPr>
                <w:t>valitus nro. 172/2018</w:t>
              </w:r>
            </w:hyperlink>
            <w:r w:rsidRPr="00FA350F">
              <w:rPr>
                <w:rFonts w:ascii="Arial" w:hAnsi="Arial" w:cs="Arial"/>
                <w:sz w:val="18"/>
                <w:szCs w:val="18"/>
                <w:lang w:val="en-US"/>
              </w:rPr>
              <w:t>)</w:t>
            </w:r>
          </w:p>
          <w:p w14:paraId="65AE482B" w14:textId="77777777" w:rsidR="00473F43" w:rsidRPr="00FA350F" w:rsidRDefault="00473F43" w:rsidP="006B3BFC">
            <w:pPr>
              <w:rPr>
                <w:rFonts w:ascii="Arial" w:hAnsi="Arial" w:cs="Arial"/>
                <w:b/>
                <w:bCs/>
                <w:sz w:val="18"/>
                <w:szCs w:val="18"/>
                <w:lang w:val="en-US"/>
              </w:rPr>
            </w:pPr>
          </w:p>
        </w:tc>
        <w:tc>
          <w:tcPr>
            <w:tcW w:w="1134" w:type="dxa"/>
          </w:tcPr>
          <w:p w14:paraId="6A137B2D" w14:textId="784190BF" w:rsidR="00473F43" w:rsidRPr="00FA350F" w:rsidRDefault="00473F43" w:rsidP="006B3BFC">
            <w:pPr>
              <w:rPr>
                <w:rFonts w:ascii="Arial" w:hAnsi="Arial" w:cs="Arial"/>
                <w:sz w:val="18"/>
                <w:szCs w:val="18"/>
                <w:lang w:val="en-US"/>
              </w:rPr>
            </w:pPr>
            <w:r w:rsidRPr="00FA350F">
              <w:rPr>
                <w:rFonts w:ascii="Arial" w:hAnsi="Arial" w:cs="Arial"/>
                <w:sz w:val="18"/>
                <w:szCs w:val="18"/>
                <w:lang w:val="en-US"/>
              </w:rPr>
              <w:t>14.10.2022</w:t>
            </w:r>
          </w:p>
        </w:tc>
        <w:tc>
          <w:tcPr>
            <w:tcW w:w="1984" w:type="dxa"/>
          </w:tcPr>
          <w:p w14:paraId="08695A39" w14:textId="689AF1B4" w:rsidR="00473F43" w:rsidRPr="00FA350F" w:rsidRDefault="00473F43" w:rsidP="006B3BFC">
            <w:pPr>
              <w:rPr>
                <w:rFonts w:ascii="Arial" w:hAnsi="Arial" w:cs="Arial"/>
                <w:sz w:val="18"/>
                <w:szCs w:val="18"/>
              </w:rPr>
            </w:pPr>
            <w:r w:rsidRPr="00FA350F">
              <w:rPr>
                <w:rFonts w:ascii="Arial" w:hAnsi="Arial" w:cs="Arial"/>
                <w:sz w:val="18"/>
                <w:szCs w:val="18"/>
              </w:rPr>
              <w:t>Sosiaalisten oikeuksien komitea todennut rikkomuksen, mutta sitä ei ole vielä korjattu.</w:t>
            </w:r>
          </w:p>
        </w:tc>
        <w:tc>
          <w:tcPr>
            <w:tcW w:w="4394" w:type="dxa"/>
          </w:tcPr>
          <w:p w14:paraId="4CB6ED43" w14:textId="34509DD9" w:rsidR="00473F43" w:rsidRPr="00FA350F" w:rsidRDefault="00473F43" w:rsidP="006B3BFC">
            <w:pPr>
              <w:rPr>
                <w:rFonts w:ascii="Arial" w:hAnsi="Arial" w:cs="Arial"/>
                <w:sz w:val="18"/>
                <w:szCs w:val="18"/>
              </w:rPr>
            </w:pPr>
            <w:r w:rsidRPr="00FA350F">
              <w:rPr>
                <w:rFonts w:ascii="Arial" w:hAnsi="Arial" w:cs="Arial"/>
                <w:sz w:val="18"/>
                <w:szCs w:val="18"/>
              </w:rPr>
              <w:t xml:space="preserve">Komitea totesi </w:t>
            </w:r>
            <w:r w:rsidRPr="00FA350F">
              <w:rPr>
                <w:rFonts w:ascii="Arial" w:hAnsi="Arial" w:cs="Arial"/>
                <w:b/>
                <w:bCs/>
                <w:sz w:val="18"/>
                <w:szCs w:val="18"/>
              </w:rPr>
              <w:t>artiklan 12(1)</w:t>
            </w:r>
            <w:r w:rsidRPr="00FA350F">
              <w:rPr>
                <w:rFonts w:ascii="Arial" w:hAnsi="Arial" w:cs="Arial"/>
                <w:sz w:val="18"/>
                <w:szCs w:val="18"/>
              </w:rPr>
              <w:t xml:space="preserve"> rikkomuksen johtuen riittämättömästä tasosta sairaus-, vanhempain- ja kuntoutusetuuksissa, työttömyystuissa sekä takuueläkkeissä, kuten myös </w:t>
            </w:r>
            <w:r w:rsidRPr="00FA350F">
              <w:rPr>
                <w:rFonts w:ascii="Arial" w:hAnsi="Arial" w:cs="Arial"/>
                <w:b/>
                <w:bCs/>
                <w:sz w:val="18"/>
                <w:szCs w:val="18"/>
              </w:rPr>
              <w:t>artiklan 13(1)</w:t>
            </w:r>
            <w:r w:rsidRPr="00FA350F">
              <w:rPr>
                <w:rFonts w:ascii="Arial" w:hAnsi="Arial" w:cs="Arial"/>
                <w:sz w:val="18"/>
                <w:szCs w:val="18"/>
              </w:rPr>
              <w:t xml:space="preserve"> rikkomuksen johtuen riittämättömästä tasosta toimeentulotuessa sekä työmarkkinatuessa.</w:t>
            </w:r>
          </w:p>
        </w:tc>
        <w:tc>
          <w:tcPr>
            <w:tcW w:w="3793" w:type="dxa"/>
          </w:tcPr>
          <w:p w14:paraId="49AE9A46" w14:textId="7E36421A" w:rsidR="00473F43" w:rsidRPr="00FA350F" w:rsidRDefault="00473F43" w:rsidP="006B3BFC">
            <w:pPr>
              <w:rPr>
                <w:rFonts w:ascii="Arial" w:hAnsi="Arial" w:cs="Arial"/>
                <w:sz w:val="18"/>
                <w:szCs w:val="18"/>
              </w:rPr>
            </w:pPr>
            <w:r w:rsidRPr="00FA350F">
              <w:rPr>
                <w:rFonts w:ascii="Arial" w:hAnsi="Arial" w:cs="Arial"/>
                <w:sz w:val="18"/>
                <w:szCs w:val="18"/>
              </w:rPr>
              <w:t>Ministerikomitea 14.6.2023 antamissa</w:t>
            </w:r>
            <w:r w:rsidR="00147973" w:rsidRPr="00FA350F">
              <w:rPr>
                <w:rFonts w:ascii="Arial" w:hAnsi="Arial" w:cs="Arial"/>
                <w:sz w:val="18"/>
                <w:szCs w:val="18"/>
              </w:rPr>
              <w:t>an</w:t>
            </w:r>
            <w:r w:rsidRPr="00FA350F">
              <w:rPr>
                <w:rFonts w:ascii="Arial" w:hAnsi="Arial" w:cs="Arial"/>
                <w:sz w:val="18"/>
                <w:szCs w:val="18"/>
              </w:rPr>
              <w:t xml:space="preserve"> suosituksissa</w:t>
            </w:r>
            <w:r w:rsidR="00147973" w:rsidRPr="00FA350F">
              <w:rPr>
                <w:rFonts w:ascii="Arial" w:hAnsi="Arial" w:cs="Arial"/>
                <w:sz w:val="18"/>
                <w:szCs w:val="18"/>
              </w:rPr>
              <w:t xml:space="preserve"> kehottaa Suomea kohottamaan mainittujen etuuksien ja tukien tasoa maan elinkustannuskehitys huomioiden. Komitea suosittaa Suomea myös kehittämään tapoja kerätä sosiaaliturvajärjestelmää koskevaa tietoa tavalla, jolla pystyttäisiin osoittamaan suomalaisen sosiaalitukijärjestelmän riittävyys riittävän elintason saavuttamiseksi kaikille ihmisille näiden yksilöllisistä elin- ja muista olosuhteista riippumatta.</w:t>
            </w:r>
          </w:p>
          <w:p w14:paraId="20B8F1CB" w14:textId="25036458" w:rsidR="00490ABE" w:rsidRPr="00FA350F" w:rsidRDefault="00490ABE" w:rsidP="006B3BFC">
            <w:pPr>
              <w:rPr>
                <w:rFonts w:ascii="Arial" w:hAnsi="Arial" w:cs="Arial"/>
                <w:sz w:val="18"/>
                <w:szCs w:val="18"/>
              </w:rPr>
            </w:pPr>
          </w:p>
        </w:tc>
      </w:tr>
    </w:tbl>
    <w:p w14:paraId="09F57967" w14:textId="77777777" w:rsidR="00A20A01" w:rsidRDefault="00A20A01"/>
    <w:tbl>
      <w:tblPr>
        <w:tblStyle w:val="TaulukkoRuudukko"/>
        <w:tblW w:w="0" w:type="auto"/>
        <w:tblLook w:val="04A0" w:firstRow="1" w:lastRow="0" w:firstColumn="1" w:lastColumn="0" w:noHBand="0" w:noVBand="1"/>
      </w:tblPr>
      <w:tblGrid>
        <w:gridCol w:w="13994"/>
      </w:tblGrid>
      <w:tr w:rsidR="00A20A01" w:rsidRPr="00FE50EF" w14:paraId="2B792B08" w14:textId="77777777" w:rsidTr="00057BED">
        <w:trPr>
          <w:trHeight w:val="525"/>
        </w:trPr>
        <w:tc>
          <w:tcPr>
            <w:tcW w:w="13994" w:type="dxa"/>
          </w:tcPr>
          <w:p w14:paraId="6983EB8E" w14:textId="77777777" w:rsidR="00A20A01" w:rsidRPr="00C77870" w:rsidRDefault="00A20A01" w:rsidP="00057BED">
            <w:pPr>
              <w:rPr>
                <w:rFonts w:ascii="Arial" w:hAnsi="Arial" w:cs="Arial"/>
                <w:b/>
                <w:bCs/>
                <w:color w:val="E54311"/>
              </w:rPr>
            </w:pPr>
            <w:r>
              <w:rPr>
                <w:rFonts w:ascii="Arial" w:hAnsi="Arial" w:cs="Arial"/>
                <w:b/>
                <w:bCs/>
                <w:color w:val="E54311"/>
              </w:rPr>
              <w:t>Täytäntöönpanojen seuranta</w:t>
            </w:r>
          </w:p>
          <w:p w14:paraId="04F089DF" w14:textId="77777777" w:rsidR="00A20A01" w:rsidRDefault="00A20A01" w:rsidP="00057BED">
            <w:pPr>
              <w:rPr>
                <w:b/>
                <w:bCs/>
              </w:rPr>
            </w:pPr>
          </w:p>
          <w:p w14:paraId="1AE5D6FA" w14:textId="6913AC46" w:rsidR="00A20A01" w:rsidRDefault="00A20A01" w:rsidP="00057BED">
            <w:pPr>
              <w:rPr>
                <w:b/>
                <w:bCs/>
              </w:rPr>
            </w:pPr>
            <w:r w:rsidRPr="00974BE9">
              <w:rPr>
                <w:b/>
                <w:bCs/>
              </w:rPr>
              <w:t>Sosiaalisten oikeuksien komitea</w:t>
            </w:r>
            <w:r>
              <w:rPr>
                <w:b/>
                <w:bCs/>
              </w:rPr>
              <w:t xml:space="preserve">n </w:t>
            </w:r>
            <w:r w:rsidR="00A005AC">
              <w:rPr>
                <w:b/>
                <w:bCs/>
              </w:rPr>
              <w:t>koostamat</w:t>
            </w:r>
            <w:r>
              <w:rPr>
                <w:b/>
                <w:bCs/>
              </w:rPr>
              <w:t xml:space="preserve"> seurantaraportit (</w:t>
            </w:r>
            <w:r w:rsidRPr="00A20A01">
              <w:rPr>
                <w:b/>
                <w:bCs/>
              </w:rPr>
              <w:t>follow-up</w:t>
            </w:r>
            <w:r>
              <w:rPr>
                <w:b/>
                <w:bCs/>
              </w:rPr>
              <w:t>) Suomen keskeneräisistä täytäntöönpanoista:</w:t>
            </w:r>
          </w:p>
          <w:p w14:paraId="15DBB7B1" w14:textId="77777777" w:rsidR="00A20A01" w:rsidRPr="00974BE9" w:rsidRDefault="00A20A01" w:rsidP="00057BED">
            <w:pPr>
              <w:rPr>
                <w:b/>
                <w:bCs/>
              </w:rPr>
            </w:pPr>
          </w:p>
          <w:p w14:paraId="7E74F9AD" w14:textId="77777777" w:rsidR="00A20A01" w:rsidRPr="00910159" w:rsidRDefault="00130208" w:rsidP="00057BED">
            <w:pPr>
              <w:rPr>
                <w:highlight w:val="yellow"/>
              </w:rPr>
            </w:pPr>
            <w:hyperlink r:id="rId17" w:history="1">
              <w:r w:rsidR="00A20A01">
                <w:rPr>
                  <w:rStyle w:val="Hyperlinkki"/>
                </w:rPr>
                <w:t>1. seurantar</w:t>
              </w:r>
              <w:r w:rsidR="00A20A01" w:rsidRPr="00910159">
                <w:rPr>
                  <w:rStyle w:val="Hyperlinkki"/>
                </w:rPr>
                <w:t>aportti</w:t>
              </w:r>
            </w:hyperlink>
            <w:r w:rsidR="00A20A01">
              <w:t xml:space="preserve"> (2018), Suomen osuus s. 33.</w:t>
            </w:r>
          </w:p>
          <w:p w14:paraId="689B5F47" w14:textId="77777777" w:rsidR="00A20A01" w:rsidRDefault="00130208" w:rsidP="00057BED">
            <w:pPr>
              <w:rPr>
                <w:highlight w:val="yellow"/>
              </w:rPr>
            </w:pPr>
            <w:hyperlink r:id="rId18" w:history="1">
              <w:r w:rsidR="00A20A01">
                <w:rPr>
                  <w:rStyle w:val="Hyperlinkki"/>
                </w:rPr>
                <w:t>2. seurantarap</w:t>
              </w:r>
              <w:r w:rsidR="00A20A01" w:rsidRPr="00974BE9">
                <w:rPr>
                  <w:rStyle w:val="Hyperlinkki"/>
                </w:rPr>
                <w:t>ortti</w:t>
              </w:r>
            </w:hyperlink>
            <w:r w:rsidR="00A20A01">
              <w:t xml:space="preserve"> (2020), s. 35.</w:t>
            </w:r>
          </w:p>
          <w:p w14:paraId="2BA30355" w14:textId="77777777" w:rsidR="00A20A01" w:rsidRDefault="00130208" w:rsidP="00057BED">
            <w:hyperlink r:id="rId19" w:history="1">
              <w:r w:rsidR="00A20A01">
                <w:rPr>
                  <w:rStyle w:val="Hyperlinkki"/>
                </w:rPr>
                <w:t>3. s</w:t>
              </w:r>
              <w:r w:rsidR="00A20A01" w:rsidRPr="00974BE9">
                <w:rPr>
                  <w:rStyle w:val="Hyperlinkki"/>
                </w:rPr>
                <w:t>eurantaraportti</w:t>
              </w:r>
            </w:hyperlink>
            <w:r w:rsidR="00A20A01">
              <w:t xml:space="preserve"> (2021), s. 33.</w:t>
            </w:r>
          </w:p>
          <w:p w14:paraId="3EA0C7C4" w14:textId="134A8138" w:rsidR="009021E3" w:rsidRPr="009021E3" w:rsidRDefault="00130208" w:rsidP="00057BED">
            <w:hyperlink r:id="rId20" w:history="1">
              <w:r w:rsidR="00A20A01" w:rsidRPr="0028681C">
                <w:rPr>
                  <w:rStyle w:val="Hyperlinkki"/>
                </w:rPr>
                <w:t>4. seurantaraportti</w:t>
              </w:r>
            </w:hyperlink>
            <w:r w:rsidR="00A20A01" w:rsidRPr="00402A66">
              <w:t xml:space="preserve"> </w:t>
            </w:r>
            <w:r w:rsidR="00A20A01">
              <w:t>(</w:t>
            </w:r>
            <w:r w:rsidR="00A20A01" w:rsidRPr="00402A66">
              <w:t>2023</w:t>
            </w:r>
            <w:r w:rsidR="00A20A01">
              <w:t xml:space="preserve">), </w:t>
            </w:r>
            <w:r w:rsidR="0028681C">
              <w:t>s. 43.</w:t>
            </w:r>
          </w:p>
          <w:p w14:paraId="16F6C0AE" w14:textId="77777777" w:rsidR="009021E3" w:rsidRDefault="009021E3" w:rsidP="00057BED">
            <w:pPr>
              <w:rPr>
                <w:b/>
                <w:bCs/>
              </w:rPr>
            </w:pPr>
          </w:p>
          <w:p w14:paraId="4500A332" w14:textId="02F2933B" w:rsidR="00A005AC" w:rsidRPr="00A005AC" w:rsidRDefault="008B36D9" w:rsidP="00057BED">
            <w:r>
              <w:t>K</w:t>
            </w:r>
            <w:r w:rsidR="00A005AC">
              <w:t xml:space="preserve">aksi varhaisinta, ikääntyneiden oikeuksia koskevaa </w:t>
            </w:r>
            <w:r>
              <w:t>ratkaisua</w:t>
            </w:r>
            <w:r w:rsidR="00A005AC">
              <w:t xml:space="preserve"> olivat ensimmäisen kerran</w:t>
            </w:r>
            <w:r>
              <w:t xml:space="preserve"> määräaikaistarkastelussa jo 2015. Komitea ei vielä tällöin sisällyttänyt tarkasteluja isompaan, koostettuun raporttiin. </w:t>
            </w:r>
            <w:r w:rsidR="00130208">
              <w:t>Tiedot</w:t>
            </w:r>
            <w:r>
              <w:t xml:space="preserve"> komitean näistä tarkasteluista löytyvät </w:t>
            </w:r>
            <w:hyperlink r:id="rId21" w:anchor="{%22sort%22:[%22escpublicationdate%20descending%22],%22escdcidentifier%22:[%22cc-70-2011-Assessment-en%22]}" w:history="1">
              <w:r w:rsidRPr="008B36D9">
                <w:rPr>
                  <w:rStyle w:val="Hyperlinkki"/>
                </w:rPr>
                <w:t>täältä</w:t>
              </w:r>
            </w:hyperlink>
            <w:r>
              <w:t xml:space="preserve"> (70/2011) ja </w:t>
            </w:r>
            <w:hyperlink r:id="rId22" w:anchor="{%22sort%22:[%22escpublicationdate%20descending%22],%22escdcidentifier%22:[%22cc-71-2011-Assessment-en%22]}" w:history="1">
              <w:r w:rsidRPr="008B36D9">
                <w:rPr>
                  <w:rStyle w:val="Hyperlinkki"/>
                </w:rPr>
                <w:t>täältä</w:t>
              </w:r>
            </w:hyperlink>
            <w:r>
              <w:t xml:space="preserve"> (71/2011).</w:t>
            </w:r>
          </w:p>
          <w:p w14:paraId="36DCA79E" w14:textId="77777777" w:rsidR="00A005AC" w:rsidRDefault="00A005AC" w:rsidP="00057BED">
            <w:pPr>
              <w:rPr>
                <w:b/>
                <w:bCs/>
              </w:rPr>
            </w:pPr>
          </w:p>
          <w:p w14:paraId="1D1C1611" w14:textId="44817E72" w:rsidR="00A20A01" w:rsidRDefault="00A20A01" w:rsidP="00057BED">
            <w:pPr>
              <w:rPr>
                <w:b/>
                <w:bCs/>
              </w:rPr>
            </w:pPr>
            <w:r>
              <w:rPr>
                <w:b/>
                <w:bCs/>
              </w:rPr>
              <w:lastRenderedPageBreak/>
              <w:t>Muita kommentteja:</w:t>
            </w:r>
          </w:p>
          <w:p w14:paraId="59874A3D" w14:textId="77777777" w:rsidR="00A20A01" w:rsidRDefault="00A20A01" w:rsidP="00057BED">
            <w:pPr>
              <w:rPr>
                <w:b/>
                <w:bCs/>
              </w:rPr>
            </w:pPr>
          </w:p>
          <w:p w14:paraId="3637EB9D" w14:textId="77777777" w:rsidR="00A20A01" w:rsidRPr="003B74BA" w:rsidRDefault="00A20A01" w:rsidP="00057BED">
            <w:pPr>
              <w:rPr>
                <w:b/>
                <w:bCs/>
              </w:rPr>
            </w:pPr>
            <w:r w:rsidRPr="003B74BA">
              <w:rPr>
                <w:b/>
                <w:bCs/>
              </w:rPr>
              <w:t>Ihmisoikeuskeskus</w:t>
            </w:r>
          </w:p>
          <w:p w14:paraId="1A56BDA1" w14:textId="77777777" w:rsidR="00A20A01" w:rsidRDefault="00130208" w:rsidP="00057BED">
            <w:hyperlink r:id="rId23" w:history="1">
              <w:r w:rsidR="00A20A01" w:rsidRPr="00FE50EF">
                <w:rPr>
                  <w:rStyle w:val="Hyperlinkki"/>
                </w:rPr>
                <w:t>IOK:n kommentit keskeneräisistä täytäntöönpanoista</w:t>
              </w:r>
            </w:hyperlink>
            <w:r w:rsidR="00A20A01">
              <w:t xml:space="preserve"> (2023)</w:t>
            </w:r>
            <w:r w:rsidR="00A20A01" w:rsidRPr="00FE50EF">
              <w:t>.</w:t>
            </w:r>
            <w:r w:rsidR="00A20A01">
              <w:t xml:space="preserve"> Ks. myös tiedotteet vuosilta </w:t>
            </w:r>
            <w:hyperlink r:id="rId24" w:history="1">
              <w:r w:rsidR="00A20A01" w:rsidRPr="00FE50EF">
                <w:rPr>
                  <w:rStyle w:val="Hyperlinkki"/>
                </w:rPr>
                <w:t>2021</w:t>
              </w:r>
            </w:hyperlink>
            <w:r w:rsidR="00A20A01">
              <w:t xml:space="preserve"> ja </w:t>
            </w:r>
            <w:hyperlink r:id="rId25" w:history="1">
              <w:r w:rsidR="00A20A01" w:rsidRPr="00FE50EF">
                <w:rPr>
                  <w:rStyle w:val="Hyperlinkki"/>
                </w:rPr>
                <w:t>2022</w:t>
              </w:r>
            </w:hyperlink>
            <w:r w:rsidR="00A20A01">
              <w:t>.</w:t>
            </w:r>
          </w:p>
          <w:p w14:paraId="0CB589EE" w14:textId="77777777" w:rsidR="00A20A01" w:rsidRPr="00FE50EF" w:rsidRDefault="00A20A01" w:rsidP="00057BED"/>
        </w:tc>
      </w:tr>
    </w:tbl>
    <w:p w14:paraId="5FBAFC13" w14:textId="77777777" w:rsidR="00A20A01" w:rsidRDefault="00A20A01"/>
    <w:tbl>
      <w:tblPr>
        <w:tblStyle w:val="TaulukkoRuudukko"/>
        <w:tblW w:w="0" w:type="auto"/>
        <w:tblLook w:val="04A0" w:firstRow="1" w:lastRow="0" w:firstColumn="1" w:lastColumn="0" w:noHBand="0" w:noVBand="1"/>
      </w:tblPr>
      <w:tblGrid>
        <w:gridCol w:w="13994"/>
      </w:tblGrid>
      <w:tr w:rsidR="00A20A01" w14:paraId="2F225EA4" w14:textId="77777777" w:rsidTr="00057BED">
        <w:trPr>
          <w:trHeight w:val="525"/>
        </w:trPr>
        <w:tc>
          <w:tcPr>
            <w:tcW w:w="13994" w:type="dxa"/>
          </w:tcPr>
          <w:p w14:paraId="1F82FE58" w14:textId="77777777" w:rsidR="00A20A01" w:rsidRPr="003E22A3" w:rsidRDefault="00A20A01" w:rsidP="00057BED">
            <w:pPr>
              <w:rPr>
                <w:rFonts w:ascii="Arial" w:hAnsi="Arial" w:cs="Arial"/>
                <w:b/>
                <w:bCs/>
                <w:color w:val="E54311"/>
              </w:rPr>
            </w:pPr>
            <w:r>
              <w:rPr>
                <w:rFonts w:ascii="Arial" w:hAnsi="Arial" w:cs="Arial"/>
                <w:b/>
                <w:bCs/>
                <w:color w:val="E54311"/>
              </w:rPr>
              <w:t>Hallituksen raportit täytäntöönpanoista</w:t>
            </w:r>
          </w:p>
          <w:p w14:paraId="7F6432F5" w14:textId="77777777" w:rsidR="00A20A01" w:rsidRDefault="00A20A01" w:rsidP="00057BED">
            <w:pPr>
              <w:rPr>
                <w:b/>
                <w:bCs/>
              </w:rPr>
            </w:pPr>
          </w:p>
          <w:p w14:paraId="4203DBA9" w14:textId="77777777" w:rsidR="00A20A01" w:rsidRDefault="00A20A01" w:rsidP="00057BED">
            <w:pPr>
              <w:rPr>
                <w:b/>
                <w:bCs/>
              </w:rPr>
            </w:pPr>
            <w:r>
              <w:rPr>
                <w:b/>
                <w:bCs/>
              </w:rPr>
              <w:t>Osana sopimusvelvoitteisiinsa perustuvaa määräaikaraportointia, Suomen hallitus on raportoinut keskeneräisistä täytäntöönpanoista seuraavissa sosiaalisten oikeuksien komitealle annetuissa raporteissa:</w:t>
            </w:r>
          </w:p>
          <w:p w14:paraId="087C0A99" w14:textId="77777777" w:rsidR="00A20A01" w:rsidRPr="008512AF" w:rsidRDefault="00A20A01" w:rsidP="00057BED"/>
          <w:p w14:paraId="290EC993" w14:textId="77777777" w:rsidR="00A20A01" w:rsidRDefault="00130208" w:rsidP="00057BED">
            <w:hyperlink r:id="rId26" w:history="1">
              <w:r w:rsidR="00A20A01" w:rsidRPr="008512AF">
                <w:rPr>
                  <w:rStyle w:val="Hyperlinkki"/>
                </w:rPr>
                <w:t>Suomen 13. määräaikaisraportti</w:t>
              </w:r>
            </w:hyperlink>
            <w:r w:rsidR="00A20A01">
              <w:t xml:space="preserve"> (2017).</w:t>
            </w:r>
          </w:p>
          <w:p w14:paraId="3757C473" w14:textId="77777777" w:rsidR="00A20A01" w:rsidRDefault="00130208" w:rsidP="00057BED">
            <w:hyperlink r:id="rId27" w:history="1">
              <w:r w:rsidR="00A20A01" w:rsidRPr="008512AF">
                <w:rPr>
                  <w:rStyle w:val="Hyperlinkki"/>
                </w:rPr>
                <w:t>Suomen 15. määräaikaisraportti</w:t>
              </w:r>
            </w:hyperlink>
            <w:r w:rsidR="00A20A01">
              <w:t xml:space="preserve"> (2019).</w:t>
            </w:r>
          </w:p>
          <w:p w14:paraId="3D184486" w14:textId="77777777" w:rsidR="00A20A01" w:rsidRDefault="00130208" w:rsidP="00057BED">
            <w:hyperlink r:id="rId28" w:history="1">
              <w:r w:rsidR="00A20A01" w:rsidRPr="008D5F56">
                <w:rPr>
                  <w:rStyle w:val="Hyperlinkki"/>
                </w:rPr>
                <w:t>Suomen 16. määräaikaisraportti</w:t>
              </w:r>
            </w:hyperlink>
            <w:r w:rsidR="00A20A01">
              <w:t xml:space="preserve"> (2020).</w:t>
            </w:r>
          </w:p>
          <w:p w14:paraId="67098CDD" w14:textId="77777777" w:rsidR="00A20A01" w:rsidRDefault="00130208" w:rsidP="00057BED">
            <w:hyperlink r:id="rId29" w:history="1">
              <w:r w:rsidR="00A20A01" w:rsidRPr="008D5F56">
                <w:rPr>
                  <w:rStyle w:val="Hyperlinkki"/>
                </w:rPr>
                <w:t>Suomen 18. määräaikaisraportti</w:t>
              </w:r>
            </w:hyperlink>
            <w:r w:rsidR="00A20A01">
              <w:t xml:space="preserve"> (2022).</w:t>
            </w:r>
          </w:p>
          <w:p w14:paraId="746DDF5C" w14:textId="77777777" w:rsidR="00A20A01" w:rsidRDefault="00A20A01" w:rsidP="00057BED"/>
          <w:p w14:paraId="361ECDE6" w14:textId="77777777" w:rsidR="00A20A01" w:rsidRPr="008512AF" w:rsidRDefault="00A20A01" w:rsidP="00057BED">
            <w:r>
              <w:t xml:space="preserve">Kaikki Suomen antamat, Euroopan sosiaalista peruskirjaa koskevat määräaikaisraportit </w:t>
            </w:r>
            <w:hyperlink r:id="rId30" w:anchor="18mar" w:history="1">
              <w:r w:rsidRPr="008512AF">
                <w:rPr>
                  <w:rStyle w:val="Hyperlinkki"/>
                </w:rPr>
                <w:t>täällä</w:t>
              </w:r>
            </w:hyperlink>
            <w:r>
              <w:rPr>
                <w:rStyle w:val="Hyperlinkki"/>
              </w:rPr>
              <w:t>.</w:t>
            </w:r>
          </w:p>
          <w:p w14:paraId="56CDC599" w14:textId="77777777" w:rsidR="00A20A01" w:rsidRDefault="00A20A01" w:rsidP="00057BED">
            <w:pPr>
              <w:rPr>
                <w:rFonts w:ascii="Arial" w:hAnsi="Arial" w:cs="Arial"/>
                <w:b/>
                <w:bCs/>
                <w:color w:val="E54311"/>
              </w:rPr>
            </w:pPr>
          </w:p>
        </w:tc>
      </w:tr>
    </w:tbl>
    <w:p w14:paraId="6C9A76B3" w14:textId="77777777" w:rsidR="00A20A01" w:rsidRPr="00473F43" w:rsidRDefault="00A20A01"/>
    <w:sectPr w:rsidR="00A20A01" w:rsidRPr="00473F43" w:rsidSect="00163255">
      <w:headerReference w:type="default" r:id="rId31"/>
      <w:footerReference w:type="default" r:id="rId32"/>
      <w:pgSz w:w="16838" w:h="11906" w:orient="landscape"/>
      <w:pgMar w:top="1134" w:right="1417" w:bottom="1134"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54B44" w14:textId="77777777" w:rsidR="0073171A" w:rsidRDefault="0073171A">
      <w:pPr>
        <w:spacing w:after="0" w:line="240" w:lineRule="auto"/>
      </w:pPr>
      <w:r>
        <w:separator/>
      </w:r>
    </w:p>
  </w:endnote>
  <w:endnote w:type="continuationSeparator" w:id="0">
    <w:p w14:paraId="009C817A" w14:textId="77777777" w:rsidR="0073171A" w:rsidRDefault="0073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4273464"/>
      <w:docPartObj>
        <w:docPartGallery w:val="Page Numbers (Bottom of Page)"/>
        <w:docPartUnique/>
      </w:docPartObj>
    </w:sdtPr>
    <w:sdtEndPr>
      <w:rPr>
        <w:rFonts w:ascii="Arial" w:hAnsi="Arial" w:cs="Arial"/>
        <w:sz w:val="18"/>
        <w:szCs w:val="18"/>
      </w:rPr>
    </w:sdtEndPr>
    <w:sdtContent>
      <w:p w14:paraId="2AFF4DA1" w14:textId="77777777" w:rsidR="00147973" w:rsidRPr="00163255" w:rsidRDefault="00CC0E66">
        <w:pPr>
          <w:pStyle w:val="Alatunniste"/>
          <w:jc w:val="right"/>
          <w:rPr>
            <w:rFonts w:ascii="Arial" w:hAnsi="Arial" w:cs="Arial"/>
            <w:sz w:val="18"/>
            <w:szCs w:val="18"/>
          </w:rPr>
        </w:pPr>
        <w:r w:rsidRPr="00163255">
          <w:rPr>
            <w:rFonts w:ascii="Arial" w:hAnsi="Arial" w:cs="Arial"/>
            <w:noProof/>
            <w:sz w:val="18"/>
            <w:szCs w:val="18"/>
          </w:rPr>
          <w:drawing>
            <wp:anchor distT="0" distB="0" distL="114300" distR="114300" simplePos="0" relativeHeight="251663360" behindDoc="1" locked="0" layoutInCell="1" allowOverlap="1" wp14:anchorId="6A9C0752" wp14:editId="7ED1D284">
              <wp:simplePos x="0" y="0"/>
              <wp:positionH relativeFrom="margin">
                <wp:align>right</wp:align>
              </wp:positionH>
              <wp:positionV relativeFrom="paragraph">
                <wp:posOffset>-20955</wp:posOffset>
              </wp:positionV>
              <wp:extent cx="5105400" cy="790575"/>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sidRPr="00163255">
          <w:rPr>
            <w:rFonts w:ascii="Arial" w:hAnsi="Arial" w:cs="Arial"/>
            <w:noProof/>
            <w:sz w:val="18"/>
            <w:szCs w:val="18"/>
          </w:rPr>
          <w:drawing>
            <wp:anchor distT="0" distB="0" distL="114300" distR="114300" simplePos="0" relativeHeight="251662336" behindDoc="1" locked="0" layoutInCell="1" allowOverlap="1" wp14:anchorId="52860A36" wp14:editId="7B42A7FC">
              <wp:simplePos x="0" y="0"/>
              <wp:positionH relativeFrom="column">
                <wp:posOffset>2790825</wp:posOffset>
              </wp:positionH>
              <wp:positionV relativeFrom="paragraph">
                <wp:posOffset>3383280</wp:posOffset>
              </wp:positionV>
              <wp:extent cx="5105400" cy="790575"/>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sidRPr="00163255">
          <w:rPr>
            <w:rFonts w:ascii="Arial" w:hAnsi="Arial" w:cs="Arial"/>
            <w:sz w:val="18"/>
            <w:szCs w:val="18"/>
          </w:rPr>
          <w:fldChar w:fldCharType="begin"/>
        </w:r>
        <w:r w:rsidRPr="00163255">
          <w:rPr>
            <w:rFonts w:ascii="Arial" w:hAnsi="Arial" w:cs="Arial"/>
            <w:sz w:val="18"/>
            <w:szCs w:val="18"/>
          </w:rPr>
          <w:instrText>PAGE   \* MERGEFORMAT</w:instrText>
        </w:r>
        <w:r w:rsidRPr="00163255">
          <w:rPr>
            <w:rFonts w:ascii="Arial" w:hAnsi="Arial" w:cs="Arial"/>
            <w:sz w:val="18"/>
            <w:szCs w:val="18"/>
          </w:rPr>
          <w:fldChar w:fldCharType="separate"/>
        </w:r>
        <w:r w:rsidRPr="00163255">
          <w:rPr>
            <w:rFonts w:ascii="Arial" w:hAnsi="Arial" w:cs="Arial"/>
            <w:sz w:val="18"/>
            <w:szCs w:val="18"/>
          </w:rPr>
          <w:t>2</w:t>
        </w:r>
        <w:r w:rsidRPr="00163255">
          <w:rPr>
            <w:rFonts w:ascii="Arial" w:hAnsi="Arial" w:cs="Arial"/>
            <w:sz w:val="18"/>
            <w:szCs w:val="18"/>
          </w:rPr>
          <w:fldChar w:fldCharType="end"/>
        </w:r>
      </w:p>
    </w:sdtContent>
  </w:sdt>
  <w:p w14:paraId="1F51F2BB" w14:textId="77777777" w:rsidR="00147973" w:rsidRDefault="00CC0E66" w:rsidP="009733C3">
    <w:pPr>
      <w:pStyle w:val="Alatunniste"/>
      <w:tabs>
        <w:tab w:val="clear" w:pos="4819"/>
        <w:tab w:val="clear" w:pos="9638"/>
        <w:tab w:val="left" w:pos="5920"/>
      </w:tabs>
    </w:pPr>
    <w:r>
      <w:rPr>
        <w:noProof/>
      </w:rPr>
      <w:drawing>
        <wp:anchor distT="0" distB="0" distL="114300" distR="114300" simplePos="0" relativeHeight="251661312" behindDoc="1" locked="0" layoutInCell="1" allowOverlap="1" wp14:anchorId="47335DBE" wp14:editId="18A00AC8">
          <wp:simplePos x="0" y="0"/>
          <wp:positionH relativeFrom="column">
            <wp:posOffset>1227455</wp:posOffset>
          </wp:positionH>
          <wp:positionV relativeFrom="paragraph">
            <wp:posOffset>4951095</wp:posOffset>
          </wp:positionV>
          <wp:extent cx="5105400" cy="79057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ECA5C71" wp14:editId="44494752">
          <wp:simplePos x="0" y="0"/>
          <wp:positionH relativeFrom="column">
            <wp:posOffset>1227455</wp:posOffset>
          </wp:positionH>
          <wp:positionV relativeFrom="paragraph">
            <wp:posOffset>4951095</wp:posOffset>
          </wp:positionV>
          <wp:extent cx="5105400" cy="79057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C1EA3" w14:textId="77777777" w:rsidR="0073171A" w:rsidRDefault="0073171A">
      <w:pPr>
        <w:spacing w:after="0" w:line="240" w:lineRule="auto"/>
      </w:pPr>
      <w:r>
        <w:separator/>
      </w:r>
    </w:p>
  </w:footnote>
  <w:footnote w:type="continuationSeparator" w:id="0">
    <w:p w14:paraId="08B95A94" w14:textId="77777777" w:rsidR="0073171A" w:rsidRDefault="0073171A">
      <w:pPr>
        <w:spacing w:after="0" w:line="240" w:lineRule="auto"/>
      </w:pPr>
      <w:r>
        <w:continuationSeparator/>
      </w:r>
    </w:p>
  </w:footnote>
  <w:footnote w:id="1">
    <w:p w14:paraId="466FE7C5" w14:textId="01865304" w:rsidR="009239F1" w:rsidRDefault="009239F1">
      <w:pPr>
        <w:pStyle w:val="Alaviitteenteksti"/>
      </w:pPr>
      <w:r>
        <w:rPr>
          <w:rStyle w:val="Alaviitteenviite"/>
        </w:rPr>
        <w:footnoteRef/>
      </w:r>
      <w:r>
        <w:t xml:space="preserve"> </w:t>
      </w:r>
      <w:hyperlink r:id="rId1" w:history="1">
        <w:r w:rsidRPr="009239F1">
          <w:rPr>
            <w:rStyle w:val="Hyperlinkki"/>
            <w:sz w:val="18"/>
            <w:szCs w:val="18"/>
          </w:rPr>
          <w:t>https://rm.coe.int/findings-2021-en/1680a5eed8</w:t>
        </w:r>
      </w:hyperlink>
      <w:r>
        <w:rPr>
          <w:rStyle w:val="Hyperlinkki"/>
          <w:sz w:val="18"/>
          <w:szCs w:val="18"/>
        </w:rPr>
        <w:t xml:space="preserve"> </w:t>
      </w:r>
    </w:p>
  </w:footnote>
  <w:footnote w:id="2">
    <w:p w14:paraId="3DE28F53" w14:textId="38B2FBEE" w:rsidR="009239F1" w:rsidRDefault="009239F1">
      <w:pPr>
        <w:pStyle w:val="Alaviitteenteksti"/>
      </w:pPr>
      <w:r>
        <w:rPr>
          <w:rStyle w:val="Alaviitteenviite"/>
        </w:rPr>
        <w:footnoteRef/>
      </w:r>
      <w:r>
        <w:t xml:space="preserve"> </w:t>
      </w:r>
      <w:hyperlink r:id="rId2" w:history="1">
        <w:r w:rsidRPr="00BD64A2">
          <w:rPr>
            <w:rStyle w:val="Hyperlinkki"/>
            <w:sz w:val="18"/>
            <w:szCs w:val="18"/>
          </w:rPr>
          <w:t>https://www.coe.int/en/web/european-social-charter/processed-complaints/-/asset_publisher/5GEFkJmH2bYG/content/no-129-2016-university-women-of-europe-uwe-v-finland</w:t>
        </w:r>
      </w:hyperlink>
      <w:r w:rsidRPr="00BD64A2">
        <w:rPr>
          <w:sz w:val="18"/>
          <w:szCs w:val="18"/>
        </w:rPr>
        <w:t>?</w:t>
      </w:r>
      <w:r>
        <w:rPr>
          <w:sz w:val="18"/>
          <w:szCs w:val="18"/>
        </w:rPr>
        <w:t xml:space="preserve"> </w:t>
      </w:r>
    </w:p>
  </w:footnote>
  <w:footnote w:id="3">
    <w:p w14:paraId="1A29998A" w14:textId="341D3920" w:rsidR="009239F1" w:rsidRDefault="009239F1">
      <w:pPr>
        <w:pStyle w:val="Alaviitteenteksti"/>
      </w:pPr>
      <w:r>
        <w:rPr>
          <w:rStyle w:val="Alaviitteenviite"/>
        </w:rPr>
        <w:footnoteRef/>
      </w:r>
      <w:r>
        <w:t xml:space="preserve"> </w:t>
      </w:r>
      <w:hyperlink r:id="rId3" w:history="1">
        <w:r w:rsidRPr="00BD64A2">
          <w:rPr>
            <w:rStyle w:val="Hyperlinkki"/>
            <w:sz w:val="18"/>
            <w:szCs w:val="18"/>
          </w:rPr>
          <w:t>https://www.coe.int/en/web/european-social-charter/processed-complaints/-/asset_publisher/5GEFkJmH2bYG/content/no-139-2016-central-union-for-child-welfare-cucw-v-finland?inheritRedirect=false</w:t>
        </w:r>
      </w:hyperlink>
      <w:r>
        <w:rPr>
          <w:rStyle w:val="Hyperlinkk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AEBF7" w14:textId="7E39489F" w:rsidR="00147973" w:rsidRDefault="00CC0E66">
    <w:pPr>
      <w:pStyle w:val="Yltunniste"/>
    </w:pPr>
    <w:r w:rsidRPr="009733C3">
      <w:rPr>
        <w:rFonts w:ascii="Arial" w:eastAsia="Arial" w:hAnsi="Arial" w:cs="Times New Roman"/>
        <w:noProof/>
        <w:color w:val="000000"/>
        <w:sz w:val="18"/>
        <w:lang w:eastAsia="fi-FI"/>
      </w:rPr>
      <w:drawing>
        <wp:anchor distT="0" distB="0" distL="114300" distR="114300" simplePos="0" relativeHeight="251659264" behindDoc="1" locked="0" layoutInCell="1" allowOverlap="1" wp14:anchorId="2B4A4EB4" wp14:editId="5CBA1A9E">
          <wp:simplePos x="0" y="0"/>
          <wp:positionH relativeFrom="column">
            <wp:posOffset>1530350</wp:posOffset>
          </wp:positionH>
          <wp:positionV relativeFrom="paragraph">
            <wp:posOffset>-722630</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Päivitetty </w:t>
    </w:r>
    <w:r w:rsidR="0028681C">
      <w:t>28</w:t>
    </w:r>
    <w:r>
      <w:t>.</w:t>
    </w:r>
    <w:r w:rsidR="0028681C">
      <w:t>3</w:t>
    </w:r>
    <w:r>
      <w:t>.202</w:t>
    </w:r>
    <w:r w:rsidR="00147973">
      <w:t>4</w:t>
    </w:r>
  </w:p>
  <w:p w14:paraId="46AB421E" w14:textId="77777777" w:rsidR="00147973" w:rsidRDefault="0014797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8127CE"/>
    <w:multiLevelType w:val="hybridMultilevel"/>
    <w:tmpl w:val="6E8C4BE0"/>
    <w:lvl w:ilvl="0" w:tplc="CD001C9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B3D6CAF"/>
    <w:multiLevelType w:val="hybridMultilevel"/>
    <w:tmpl w:val="3E5E2F86"/>
    <w:lvl w:ilvl="0" w:tplc="40E86620">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6C57237"/>
    <w:multiLevelType w:val="hybridMultilevel"/>
    <w:tmpl w:val="423EB344"/>
    <w:lvl w:ilvl="0" w:tplc="7340034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57982265">
    <w:abstractNumId w:val="0"/>
  </w:num>
  <w:num w:numId="2" w16cid:durableId="338240388">
    <w:abstractNumId w:val="2"/>
  </w:num>
  <w:num w:numId="3" w16cid:durableId="748237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66"/>
    <w:rsid w:val="00013597"/>
    <w:rsid w:val="00130208"/>
    <w:rsid w:val="00147973"/>
    <w:rsid w:val="00161F03"/>
    <w:rsid w:val="0028681C"/>
    <w:rsid w:val="0032227D"/>
    <w:rsid w:val="00354800"/>
    <w:rsid w:val="003632D5"/>
    <w:rsid w:val="003B74BA"/>
    <w:rsid w:val="003E22A3"/>
    <w:rsid w:val="00402A66"/>
    <w:rsid w:val="00471E16"/>
    <w:rsid w:val="00473F43"/>
    <w:rsid w:val="00490ABE"/>
    <w:rsid w:val="004D65E8"/>
    <w:rsid w:val="005A5B1E"/>
    <w:rsid w:val="005E2F15"/>
    <w:rsid w:val="0073171A"/>
    <w:rsid w:val="007E24E5"/>
    <w:rsid w:val="008005DC"/>
    <w:rsid w:val="00807048"/>
    <w:rsid w:val="00813F92"/>
    <w:rsid w:val="008512AF"/>
    <w:rsid w:val="008B36D9"/>
    <w:rsid w:val="008C0FE7"/>
    <w:rsid w:val="008D5F56"/>
    <w:rsid w:val="008F2A55"/>
    <w:rsid w:val="009021E3"/>
    <w:rsid w:val="00910159"/>
    <w:rsid w:val="009239F1"/>
    <w:rsid w:val="00974BE9"/>
    <w:rsid w:val="00A005AC"/>
    <w:rsid w:val="00A20A01"/>
    <w:rsid w:val="00A81BDA"/>
    <w:rsid w:val="00B06348"/>
    <w:rsid w:val="00BB4F4B"/>
    <w:rsid w:val="00C77870"/>
    <w:rsid w:val="00CC0E66"/>
    <w:rsid w:val="00CD76C5"/>
    <w:rsid w:val="00F2311C"/>
    <w:rsid w:val="00F46A74"/>
    <w:rsid w:val="00F66C27"/>
    <w:rsid w:val="00FA350F"/>
    <w:rsid w:val="00FC1EA0"/>
    <w:rsid w:val="00FE50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E1C4E"/>
  <w15:chartTrackingRefBased/>
  <w15:docId w15:val="{E2B8D295-7D0D-491B-A1A1-3AAFFBFA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0E6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C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C0E66"/>
    <w:rPr>
      <w:color w:val="0563C1" w:themeColor="hyperlink"/>
      <w:u w:val="single"/>
    </w:rPr>
  </w:style>
  <w:style w:type="paragraph" w:styleId="Yltunniste">
    <w:name w:val="header"/>
    <w:basedOn w:val="Normaali"/>
    <w:link w:val="YltunnisteChar"/>
    <w:uiPriority w:val="99"/>
    <w:unhideWhenUsed/>
    <w:rsid w:val="00CC0E6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0E66"/>
  </w:style>
  <w:style w:type="paragraph" w:styleId="Alatunniste">
    <w:name w:val="footer"/>
    <w:basedOn w:val="Normaali"/>
    <w:link w:val="AlatunnisteChar"/>
    <w:uiPriority w:val="99"/>
    <w:unhideWhenUsed/>
    <w:rsid w:val="00CC0E6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0E66"/>
  </w:style>
  <w:style w:type="paragraph" w:styleId="Alaviitteenteksti">
    <w:name w:val="footnote text"/>
    <w:basedOn w:val="Normaali"/>
    <w:link w:val="AlaviitteentekstiChar"/>
    <w:uiPriority w:val="99"/>
    <w:semiHidden/>
    <w:unhideWhenUsed/>
    <w:rsid w:val="009239F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239F1"/>
    <w:rPr>
      <w:sz w:val="20"/>
      <w:szCs w:val="20"/>
    </w:rPr>
  </w:style>
  <w:style w:type="character" w:styleId="Alaviitteenviite">
    <w:name w:val="footnote reference"/>
    <w:basedOn w:val="Kappaleenoletusfontti"/>
    <w:uiPriority w:val="99"/>
    <w:semiHidden/>
    <w:unhideWhenUsed/>
    <w:rsid w:val="009239F1"/>
    <w:rPr>
      <w:vertAlign w:val="superscript"/>
    </w:rPr>
  </w:style>
  <w:style w:type="character" w:styleId="AvattuHyperlinkki">
    <w:name w:val="FollowedHyperlink"/>
    <w:basedOn w:val="Kappaleenoletusfontti"/>
    <w:uiPriority w:val="99"/>
    <w:semiHidden/>
    <w:unhideWhenUsed/>
    <w:rsid w:val="009239F1"/>
    <w:rPr>
      <w:color w:val="954F72" w:themeColor="followedHyperlink"/>
      <w:u w:val="single"/>
    </w:rPr>
  </w:style>
  <w:style w:type="character" w:styleId="Ratkaisematonmaininta">
    <w:name w:val="Unresolved Mention"/>
    <w:basedOn w:val="Kappaleenoletusfontti"/>
    <w:uiPriority w:val="99"/>
    <w:semiHidden/>
    <w:unhideWhenUsed/>
    <w:rsid w:val="00490ABE"/>
    <w:rPr>
      <w:color w:val="605E5C"/>
      <w:shd w:val="clear" w:color="auto" w:fill="E1DFDD"/>
    </w:rPr>
  </w:style>
  <w:style w:type="paragraph" w:styleId="Luettelokappale">
    <w:name w:val="List Paragraph"/>
    <w:basedOn w:val="Normaali"/>
    <w:uiPriority w:val="34"/>
    <w:qFormat/>
    <w:rsid w:val="0097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coe.int/cm/Pages/result_details.aspx?ObjectId=0900001680a1d260" TargetMode="External"/><Relationship Id="rId18" Type="http://schemas.openxmlformats.org/officeDocument/2006/relationships/hyperlink" Target="https://rm.coe.int/findings-ecrs-2020/1680a1dd39" TargetMode="External"/><Relationship Id="rId26" Type="http://schemas.openxmlformats.org/officeDocument/2006/relationships/hyperlink" Target="https://um.fi/documents/35732/0/13.%20uudistettu%20raportti%2C%20lokakuu%202017.pdf/35b354de-7f90-27d3-909a-d390a675fa19?t=1534507649149" TargetMode="External"/><Relationship Id="rId3" Type="http://schemas.openxmlformats.org/officeDocument/2006/relationships/settings" Target="settings.xml"/><Relationship Id="rId21" Type="http://schemas.openxmlformats.org/officeDocument/2006/relationships/hyperlink" Target="https://hudoc.esc.coe.int/eng" TargetMode="External"/><Relationship Id="rId34" Type="http://schemas.openxmlformats.org/officeDocument/2006/relationships/theme" Target="theme/theme1.xml"/><Relationship Id="rId7" Type="http://schemas.openxmlformats.org/officeDocument/2006/relationships/hyperlink" Target="https://www.coe.int/en/web/european-social-charter/processed-complaints/-/asset_publisher/5GEFkJmH2bYG/content/no-70-2011-the-central-association-of-carers-in-finland-v-finland?inheritRedirect=false&amp;redirect=https%3A%2F%2Fwww.coe.int%2Fen%2Fweb%2Feuropean-social-charter%2Fprocessed-complaints%3Fp_p_id%3D101_INSTANCE_5GEFkJmH2bYG%26p_p_lifecycle%3D0%26p_p_state%3Dnormal%26p_p_mode%3Dview%26p_p_col_id%3Dcolumn-4%26p_p_col_count%3D1%26p_r_p_564233524_resetCur%3Dtrue%26p_r_p_564233524_categoryId%3D28547786" TargetMode="External"/><Relationship Id="rId12" Type="http://schemas.openxmlformats.org/officeDocument/2006/relationships/hyperlink" Target="https://www.coe.int/en/web/european-social-charter/processed-complaints/-/asset_publisher/5GEFkJmH2bYG/content/no-129-2016-university-women-of-europe-uwe-v-finland?inheritRedirect=false&amp;redirect=https%3A%2F%2Fwww.coe.int%2Fen%2Fweb%2Feuropean-social-charter%2Fprocessed-complaints%3Fp_p_id%3D101_INSTANCE_5GEFkJmH2bYG%26p_p_lifecycle%3D0%26p_p_state%3Dnormal%26p_p_mode%3Dview%26p_p_col_id%3Dcolumn-4%26p_p_col_count%3D1%26_101_INSTANCE_5GEFkJmH2bYG_currentURL%3D%252Fen%252Fweb%252Feuropean-social-charter%252Fprocessed-complaints%26p_r_p_564233524_resetCur%3Dtrue%26p_r_p_564233524_categoryId%3D28547786" TargetMode="External"/><Relationship Id="rId17" Type="http://schemas.openxmlformats.org/officeDocument/2006/relationships/hyperlink" Target="https://rm.coe.int/findings-2018-on-collective-complaints/168091f0c7" TargetMode="External"/><Relationship Id="rId25" Type="http://schemas.openxmlformats.org/officeDocument/2006/relationships/hyperlink" Target="https://www.ihmisoikeuskeskus.fi/uutiset/sosiaalisten-oikeuksien-komitea-e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e.int/en/web/european-social-charter/processed-complaints/-/asset_publisher/5GEFkJmH2bYG/content/no-108-2014-finnish-society-of-social-rights-v-finland?inheritRedirect=false&amp;redirect=https%3A%2F%2Fwww.coe.int%2Fen%2Fweb%2Feuropean-social-charter%2Fprocessed-complaints%3Fp_p_id%3D101_INSTANCE_5GEFkJmH2bYG%26p_p_lifecycle%3D0%26p_p_state%3Dnormal%26p_p_mode%3Dview%26p_p_col_id%3Dcolumn-4%26p_p_col_count%3D1%26p_r_p_564233524_resetCur%3Dtrue%26p_r_p_564233524_categoryId%3D28547786" TargetMode="External"/><Relationship Id="rId20" Type="http://schemas.openxmlformats.org/officeDocument/2006/relationships/hyperlink" Target="https://rm.coe.int/findings-2023-en/1680aef57f" TargetMode="External"/><Relationship Id="rId29" Type="http://schemas.openxmlformats.org/officeDocument/2006/relationships/hyperlink" Target="https://um.fi/documents/35732/0/ESC_Finland_18th+report_2022.pdf/a341ba67-2011-b448-d615-b012506f3b6d?t=16884489517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european-social-charter/processed-complaints/-/asset_publisher/5GEFkJmH2bYG/content/no-108-2014-finnish-society-of-social-rights-v-finland?inheritRedirect=false&amp;redirect=https%3A%2F%2Fwww.coe.int%2Fen%2Fweb%2Feuropean-social-charter%2Fprocessed-complaints%3Fp_p_id%3D101_INSTANCE_5GEFkJmH2bYG%26p_p_lifecycle%3D0%26p_p_state%3Dnormal%26p_p_mode%3Dview%26p_p_col_id%3Dcolumn-4%26p_p_col_count%3D1%26p_r_p_564233524_resetCur%3Dtrue%26p_r_p_564233524_categoryId%3D28547786" TargetMode="External"/><Relationship Id="rId24" Type="http://schemas.openxmlformats.org/officeDocument/2006/relationships/hyperlink" Target="https://www.ihmisoikeuskeskus.fi/uutiset/en-sosiaalisten-oikeuksien-komitea-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earch.coe.int/cm/Pages/result_details.aspx?ObjectId=09000016809ce4e3" TargetMode="External"/><Relationship Id="rId23" Type="http://schemas.openxmlformats.org/officeDocument/2006/relationships/hyperlink" Target="https://rm.coe.int/comments-finnish-human-rights-centre-finland-18-nr-2023/1680ac564a" TargetMode="External"/><Relationship Id="rId28" Type="http://schemas.openxmlformats.org/officeDocument/2006/relationships/hyperlink" Target="https://um.fi/documents/35732/0/ESCR_16th+Periodic+Report_Finland_2020.pdf/d4dcaeb0-945b-a9cb-6ae1-cd998fe42149?t=1608723768676" TargetMode="External"/><Relationship Id="rId10" Type="http://schemas.openxmlformats.org/officeDocument/2006/relationships/hyperlink" Target="https://www.coe.int/en/web/european-social-charter/processed-complaints/-/asset_publisher/5GEFkJmH2bYG/content/no-106-2014-finnish-society-of-social-rights-v-finland?inheritRedirect=false&amp;redirect=https%3A%2F%2Fwww.coe.int%2Fen%2Fweb%2Feuropean-social-charter%2Fprocessed-complaints%3Fp_p_id%3D101_INSTANCE_5GEFkJmH2bYG%26p_p_lifecycle%3D0%26p_p_state%3Dnormal%26p_p_mode%3Dview%26p_p_col_id%3Dcolumn-4%26p_p_col_count%3D1%26p_r_p_564233524_resetCur%3Dtrue%26p_r_p_564233524_categoryId%3D28547786" TargetMode="External"/><Relationship Id="rId19" Type="http://schemas.openxmlformats.org/officeDocument/2006/relationships/hyperlink" Target="https://rm.coe.int/findings-2021-en/1680a5eed8"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e.int/en/web/european-social-charter/processed-complaints/-/asset_publisher/5GEFkJmH2bYG/content/no-88-2012-finnish-society-of-social-rights-v-finland?inheritRedirect=false&amp;redirect=https%3A%2F%2Fwww.coe.int%2Fen%2Fweb%2Feuropean-social-charter%2Fprocessed-complaints%3Fp_p_id%3D101_INSTANCE_5GEFkJmH2bYG%26p_p_lifecycle%3D0%26p_p_state%3Dnormal%26p_p_mode%3Dview%26p_p_col_id%3Dcolumn-4%26p_p_col_count%3D1%26p_r_p_564233524_resetCur%3Dtrue%26p_r_p_564233524_categoryId%3D28547786" TargetMode="External"/><Relationship Id="rId14" Type="http://schemas.openxmlformats.org/officeDocument/2006/relationships/hyperlink" Target="https://www.coe.int/en/web/european-social-charter/processed-complaints/-/asset_publisher/5GEFkJmH2bYG/content/no-139-2016-central-union-for-child-welfare-cucw-v-finland?inheritRedirect=false&amp;redirect=https%3A%2F%2Fwww.coe.int%2Fen%2Fweb%2Feuropean-social-charter%2Fprocessed-complaints%3Fp_p_id%3D101_INSTANCE_5GEFkJmH2bYG%26p_p_lifecycle%3D0%26p_p_state%3Dnormal%26p_p_mode%3Dview%26p_p_col_id%3Dcolumn-4%26p_p_col_count%3D1%26_101_INSTANCE_5GEFkJmH2bYG_currentURL%3D%252Fen%252Fweb%252Feuropean-social-charter%252Fprocessed-complaints%26p_r_p_564233524_resetCur%3Dtrue%26p_r_p_564233524_categoryId%3D28547786" TargetMode="External"/><Relationship Id="rId22" Type="http://schemas.openxmlformats.org/officeDocument/2006/relationships/hyperlink" Target="https://hudoc.esc.coe.int/eng" TargetMode="External"/><Relationship Id="rId27" Type="http://schemas.openxmlformats.org/officeDocument/2006/relationships/hyperlink" Target="https://um.fi/documents/35732/0/The+Fifteenth+Periodic+Report+on+the+implementation+of+the+Revised+European+Social+Charter.pdf/ad74d267-dbdd-bdbc-4ed2-3b88f91ff718?t=1579098680386" TargetMode="External"/><Relationship Id="rId30" Type="http://schemas.openxmlformats.org/officeDocument/2006/relationships/hyperlink" Target="https://um.fi/euroopan-neuvoston-voimassa-olevat-ihmisoikeussopimukset/-/asset_publisher/mnr92wS4p1l3/content/uudistettu-euroopan-sosiaalinen-peruskirja-1996-" TargetMode="External"/><Relationship Id="rId8" Type="http://schemas.openxmlformats.org/officeDocument/2006/relationships/hyperlink" Target="https://www.coe.int/en/web/european-social-charter/processed-complaints/-/asset_publisher/5GEFkJmH2bYG/content/no-71-2011the-central-association-of-carers-in-finland-v-finland?inheritRedirect=false&amp;redirect=https%3A%2F%2Fwww.coe.int%2Fen%2Fweb%2Feuropean-social-charter%2Fprocessed-complaints%3Fp_p_id%3D101_INSTANCE_5GEFkJmH2bYG%26p_p_lifecycle%3D0%26p_p_state%3Dnormal%26p_p_mode%3Dview%26p_p_col_id%3Dcolumn-4%26p_p_col_count%3D1%26p_r_p_564233524_resetCur%3Dtrue%26p_r_p_564233524_categoryId%3D285477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european-social-charter/processed-complaints/-/asset_publisher/5GEFkJmH2bYG/content/no-139-2016-central-union-for-child-welfare-cucw-v-finland?inheritRedirect=false" TargetMode="External"/><Relationship Id="rId2" Type="http://schemas.openxmlformats.org/officeDocument/2006/relationships/hyperlink" Target="https://www.coe.int/en/web/european-social-charter/processed-complaints/-/asset_publisher/5GEFkJmH2bYG/content/no-129-2016-university-women-of-europe-uwe-v-finland" TargetMode="External"/><Relationship Id="rId1" Type="http://schemas.openxmlformats.org/officeDocument/2006/relationships/hyperlink" Target="https://rm.coe.int/findings-2021-en/1680a5eed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1826</Words>
  <Characters>14794</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Kupiainen Emmi</dc:creator>
  <cp:keywords/>
  <dc:description/>
  <cp:lastModifiedBy>Pursimo Mikko</cp:lastModifiedBy>
  <cp:revision>9</cp:revision>
  <dcterms:created xsi:type="dcterms:W3CDTF">2024-01-16T16:02:00Z</dcterms:created>
  <dcterms:modified xsi:type="dcterms:W3CDTF">2024-04-03T10:14:00Z</dcterms:modified>
</cp:coreProperties>
</file>