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4E" w:rsidRPr="007C4B15" w:rsidRDefault="0095624E">
      <w:r w:rsidRPr="00C41AE9">
        <w:rPr>
          <w:sz w:val="28"/>
          <w:szCs w:val="28"/>
        </w:rPr>
        <w:t>Pre-emptiivinen munuaissiir</w:t>
      </w:r>
      <w:bookmarkStart w:id="0" w:name="_GoBack"/>
      <w:bookmarkEnd w:id="0"/>
      <w:r w:rsidRPr="00C41AE9">
        <w:rPr>
          <w:sz w:val="28"/>
          <w:szCs w:val="28"/>
        </w:rPr>
        <w:t>to aivokuolleelta luovuttajalta</w:t>
      </w:r>
      <w:r>
        <w:t xml:space="preserve">    </w:t>
      </w:r>
      <w:r>
        <w:tab/>
      </w:r>
      <w:r w:rsidR="000A66CF">
        <w:t>1</w:t>
      </w:r>
      <w:r w:rsidR="00C41AE9">
        <w:t>6.8.</w:t>
      </w:r>
      <w:r>
        <w:t xml:space="preserve"> 2018</w:t>
      </w:r>
    </w:p>
    <w:p w:rsidR="0095624E" w:rsidRPr="00870982" w:rsidRDefault="0095624E">
      <w:r w:rsidRPr="00870982">
        <w:t>Taustaa</w:t>
      </w:r>
    </w:p>
    <w:p w:rsidR="0095624E" w:rsidRPr="00870982" w:rsidRDefault="0095624E">
      <w:r w:rsidRPr="00870982">
        <w:t xml:space="preserve">Useimmissa muissa maissa ja esimerkiksi kaikissa muissa pohjoismaissa munuaissiirtolistalle pääsee odottamaan siirrettä jo ennen dialyysihoitojen aloitusta eli ns. pre-emptiivisesti. Pre-emptiivisen siirron myötä voidaan säästää dialyysihoitoon liittyviä kustannuksia, sekä joidenkin tutkimusten mukaan siirteen ja potilaan ennuste on parempi jos on voitu välttää dialyysihoito kokonaan. Suomessa lapsipotilaita on vuodesta 2017 alkaen hyväksytty siirtolistalle pre-emptiivisesti, ja </w:t>
      </w:r>
      <w:r w:rsidR="0015479C">
        <w:t>1.9.2018 alkaen myös aikuispotilaita voidaan ilmoittaa listalle pre-emptiivisesti allaolevien kriteerien mukaisesti.</w:t>
      </w:r>
    </w:p>
    <w:p w:rsidR="0095624E" w:rsidRPr="00870982" w:rsidRDefault="0015479C">
      <w:r>
        <w:t>Toimintamalli</w:t>
      </w:r>
    </w:p>
    <w:p w:rsidR="0095624E" w:rsidRPr="00870982" w:rsidRDefault="0095624E" w:rsidP="0095624E">
      <w:pPr>
        <w:pStyle w:val="Luettelokappale"/>
        <w:numPr>
          <w:ilvl w:val="0"/>
          <w:numId w:val="2"/>
        </w:numPr>
      </w:pPr>
      <w:r w:rsidRPr="00870982">
        <w:t>Pre-emptiivinen siirtolistalle asettaminen koskisi alusta asti kaikkia potilasryhmiä, joiden katsotaan hyötyvän munuaissiirrosta (esim. iästä riippumatta)</w:t>
      </w:r>
    </w:p>
    <w:p w:rsidR="0095624E" w:rsidRPr="00870982" w:rsidRDefault="0095624E" w:rsidP="0095624E">
      <w:pPr>
        <w:pStyle w:val="Luettelokappale"/>
        <w:numPr>
          <w:ilvl w:val="0"/>
          <w:numId w:val="2"/>
        </w:numPr>
      </w:pPr>
      <w:r w:rsidRPr="00870982">
        <w:t>Toiminta käynnistyy koko maassa samanaikaisesti</w:t>
      </w:r>
      <w:r w:rsidR="0015479C">
        <w:t xml:space="preserve"> </w:t>
      </w:r>
      <w:r w:rsidRPr="00870982">
        <w:t>1.9.2018 alkaen</w:t>
      </w:r>
    </w:p>
    <w:p w:rsidR="0015479C" w:rsidRDefault="0095624E" w:rsidP="0095624E">
      <w:pPr>
        <w:pStyle w:val="Luettelokappale"/>
        <w:numPr>
          <w:ilvl w:val="0"/>
          <w:numId w:val="2"/>
        </w:numPr>
      </w:pPr>
      <w:r w:rsidRPr="00870982">
        <w:t xml:space="preserve">Siirtolistalle voidaan ilmoittaa kun eGFR on alle 15ml/min, </w:t>
      </w:r>
      <w:r w:rsidR="0015479C">
        <w:t>jos:</w:t>
      </w:r>
    </w:p>
    <w:p w:rsidR="0015479C" w:rsidRDefault="0015479C" w:rsidP="0015479C">
      <w:pPr>
        <w:pStyle w:val="Luettelokappale"/>
        <w:numPr>
          <w:ilvl w:val="1"/>
          <w:numId w:val="2"/>
        </w:numPr>
      </w:pPr>
      <w:r>
        <w:t>potilaan vointi on stabiili</w:t>
      </w:r>
      <w:r w:rsidR="0095624E" w:rsidRPr="00870982">
        <w:t xml:space="preserve"> </w:t>
      </w:r>
    </w:p>
    <w:p w:rsidR="0015479C" w:rsidRDefault="0095624E" w:rsidP="0015479C">
      <w:pPr>
        <w:pStyle w:val="Luettelokappale"/>
        <w:numPr>
          <w:ilvl w:val="1"/>
          <w:numId w:val="2"/>
        </w:numPr>
      </w:pPr>
      <w:r w:rsidRPr="00870982">
        <w:t>hänellä on eten</w:t>
      </w:r>
      <w:r w:rsidR="0015479C">
        <w:t>evä munuaisten vajaatoiminta</w:t>
      </w:r>
    </w:p>
    <w:p w:rsidR="0095624E" w:rsidRDefault="0095624E" w:rsidP="0015479C">
      <w:pPr>
        <w:pStyle w:val="Luettelokappale"/>
        <w:numPr>
          <w:ilvl w:val="1"/>
          <w:numId w:val="2"/>
        </w:numPr>
      </w:pPr>
      <w:r w:rsidRPr="00870982">
        <w:t>hänen katsotaan hyötyvän munuaissiirrosta</w:t>
      </w:r>
    </w:p>
    <w:p w:rsidR="0015479C" w:rsidRPr="00870982" w:rsidRDefault="0015479C" w:rsidP="0015479C">
      <w:pPr>
        <w:pStyle w:val="Luettelokappale"/>
        <w:numPr>
          <w:ilvl w:val="1"/>
          <w:numId w:val="2"/>
        </w:numPr>
      </w:pPr>
      <w:r>
        <w:t>ei ole tiedossa elävää luovuttajaa</w:t>
      </w:r>
    </w:p>
    <w:p w:rsidR="0095624E" w:rsidRPr="00870982" w:rsidRDefault="0095624E" w:rsidP="0095624E">
      <w:pPr>
        <w:pStyle w:val="Luettelokappale"/>
        <w:numPr>
          <w:ilvl w:val="0"/>
          <w:numId w:val="2"/>
        </w:numPr>
      </w:pPr>
      <w:r w:rsidRPr="00870982">
        <w:t>Siirtovalmistelut ja esitutkimukset eivät poikkea aiemmasta, eivätkä siirtolistalle hyväksymisen kriteerit muutu</w:t>
      </w:r>
    </w:p>
    <w:p w:rsidR="0095624E" w:rsidRPr="00870982" w:rsidRDefault="0095624E" w:rsidP="0095624E">
      <w:pPr>
        <w:pStyle w:val="Luettelokappale"/>
        <w:numPr>
          <w:ilvl w:val="0"/>
          <w:numId w:val="2"/>
        </w:numPr>
      </w:pPr>
      <w:r w:rsidRPr="00870982">
        <w:t>S</w:t>
      </w:r>
      <w:r w:rsidR="007C4B15">
        <w:t xml:space="preserve">iirtolistalla olevan </w:t>
      </w:r>
      <w:r w:rsidRPr="00870982">
        <w:t>potilaan seuranta pitää olla riittävän tiivistä, kliininen arvio on tehtävä vähintään 2-3kk välein, verikokeet tarvittaessa useamminkin, jotta voidaan varmistaa ettei ole tarvetta dialyysihoidolle ja että potilas on siirtokelpoinen (anestesia- ja leikkauskelpoinen)</w:t>
      </w:r>
    </w:p>
    <w:p w:rsidR="0095624E" w:rsidRPr="00870982" w:rsidRDefault="0095624E" w:rsidP="0095624E">
      <w:r w:rsidRPr="00870982">
        <w:t>Huomioitavaa:</w:t>
      </w:r>
    </w:p>
    <w:p w:rsidR="0095624E" w:rsidRPr="00870982" w:rsidRDefault="0095624E" w:rsidP="0095624E">
      <w:pPr>
        <w:pStyle w:val="Sis1"/>
        <w:numPr>
          <w:ilvl w:val="0"/>
          <w:numId w:val="3"/>
        </w:numPr>
        <w:rPr>
          <w:rFonts w:asciiTheme="minorHAnsi" w:hAnsiTheme="minorHAnsi"/>
        </w:rPr>
      </w:pPr>
      <w:r w:rsidRPr="00870982">
        <w:rPr>
          <w:rFonts w:asciiTheme="minorHAnsi" w:hAnsiTheme="minorHAnsi"/>
        </w:rPr>
        <w:t>Dialyysihoitomuodon valinta ja dialyysivalmistelut tehdään normaalisti, koska on kuitenkin todennäköisempää että potilas etenee dialyysiin ennen kuin sopiva siirre löytyy</w:t>
      </w:r>
    </w:p>
    <w:p w:rsidR="0095624E" w:rsidRDefault="0095624E" w:rsidP="0095624E">
      <w:pPr>
        <w:pStyle w:val="Sis1"/>
        <w:numPr>
          <w:ilvl w:val="0"/>
          <w:numId w:val="3"/>
        </w:numPr>
        <w:rPr>
          <w:rFonts w:asciiTheme="minorHAnsi" w:hAnsiTheme="minorHAnsi"/>
        </w:rPr>
      </w:pPr>
      <w:r w:rsidRPr="00870982">
        <w:rPr>
          <w:rFonts w:asciiTheme="minorHAnsi" w:hAnsiTheme="minorHAnsi"/>
        </w:rPr>
        <w:t>Siirteiden allokaatio perustuu edelleen listallaol</w:t>
      </w:r>
      <w:r w:rsidR="007C4B15">
        <w:rPr>
          <w:rFonts w:asciiTheme="minorHAnsi" w:hAnsiTheme="minorHAnsi"/>
        </w:rPr>
        <w:t>oaikaan, mutta pyritään huomioim</w:t>
      </w:r>
      <w:r w:rsidRPr="00870982">
        <w:rPr>
          <w:rFonts w:asciiTheme="minorHAnsi" w:hAnsiTheme="minorHAnsi"/>
        </w:rPr>
        <w:t>aan myös edeltävä aika dialyysihoidossa</w:t>
      </w:r>
    </w:p>
    <w:p w:rsidR="00A06F50" w:rsidRDefault="00A06F50" w:rsidP="0095624E">
      <w:pPr>
        <w:pStyle w:val="Sis1"/>
        <w:numPr>
          <w:ilvl w:val="0"/>
          <w:numId w:val="3"/>
        </w:numPr>
        <w:rPr>
          <w:rFonts w:asciiTheme="minorHAnsi" w:hAnsiTheme="minorHAnsi"/>
        </w:rPr>
      </w:pPr>
      <w:r>
        <w:rPr>
          <w:rFonts w:asciiTheme="minorHAnsi" w:hAnsiTheme="minorHAnsi"/>
        </w:rPr>
        <w:t>Siirtoon kutsumisessa ei tapahdu muutoksia, aiempaan tapaan lähettävä yksikkö huolehtii yhteystietojen päivittämisestä</w:t>
      </w:r>
    </w:p>
    <w:p w:rsidR="00A06F50" w:rsidRDefault="00A06F50" w:rsidP="00A06F50">
      <w:pPr>
        <w:pStyle w:val="Luettelokappale"/>
        <w:numPr>
          <w:ilvl w:val="0"/>
          <w:numId w:val="3"/>
        </w:numPr>
        <w:spacing w:line="252" w:lineRule="auto"/>
      </w:pPr>
      <w:r>
        <w:t>Dialyysihoidon aloituksesta ja hoitavan yksikön vaihtumisesta pitää informoida elinsiirtotoimistoa</w:t>
      </w:r>
    </w:p>
    <w:p w:rsidR="0095624E" w:rsidRPr="00870982" w:rsidRDefault="0095624E" w:rsidP="0095624E">
      <w:pPr>
        <w:pStyle w:val="Luettelokappale"/>
        <w:numPr>
          <w:ilvl w:val="0"/>
          <w:numId w:val="3"/>
        </w:numPr>
      </w:pPr>
      <w:r w:rsidRPr="00870982">
        <w:t>Hoitava nefrologi päättää harkintansa mukaan milloin on oikea hetki ilmoittaa potilasta siirtolistalle, kaikkien potilaiden kohdalla siirtolistalle ei ole vielä järkevää tähdätä eGFR- tasolla 15ml/min, vaan useassa tapauksessa vasta hieman alemmalla munuaistoiminnalla</w:t>
      </w:r>
    </w:p>
    <w:p w:rsidR="0095624E" w:rsidRDefault="00615EFD" w:rsidP="00615EFD">
      <w:pPr>
        <w:pStyle w:val="Luettelokappale"/>
        <w:numPr>
          <w:ilvl w:val="0"/>
          <w:numId w:val="3"/>
        </w:numPr>
        <w:spacing w:line="256" w:lineRule="auto"/>
      </w:pPr>
      <w:r w:rsidRPr="00615EFD">
        <w:t>Munuaisten vajaatoiminnan edettyä saattavat tilaan liittyvät häiriöt edellyttää potilaan poistamista väliaikaisesti siirtolistalta muutamaksi viikoksi, kunnes kliininen tilanne stabiloituu dialyysihoidolla ja potilas on jälleen siirtokelpoinen</w:t>
      </w:r>
    </w:p>
    <w:p w:rsidR="0095624E" w:rsidRPr="00870982" w:rsidRDefault="0095624E" w:rsidP="0095624E">
      <w:pPr>
        <w:pStyle w:val="Luettelokappale"/>
        <w:numPr>
          <w:ilvl w:val="0"/>
          <w:numId w:val="3"/>
        </w:numPr>
      </w:pPr>
      <w:r w:rsidRPr="00870982">
        <w:t>Siirtolistallaoloajat tulevat muutoksen myötä pidentymään, mutta tavoitteena on, että dialyysihoidossa kulunut aika tulisi lyhenemään kun potilaat saadaan ajoissa siirtolistalle</w:t>
      </w:r>
    </w:p>
    <w:p w:rsidR="00C41AE9" w:rsidRDefault="00C41AE9" w:rsidP="00C41AE9">
      <w:pPr>
        <w:ind w:left="360"/>
      </w:pPr>
    </w:p>
    <w:p w:rsidR="00C41AE9" w:rsidRDefault="00C41AE9" w:rsidP="00C41AE9">
      <w:pPr>
        <w:ind w:left="360"/>
      </w:pPr>
      <w:r>
        <w:t>Ilkka Helanterä, erikoislääkäri ja Marko Lempinen, osastonylilääkäri</w:t>
      </w:r>
    </w:p>
    <w:p w:rsidR="00C41AE9" w:rsidRDefault="00C41AE9" w:rsidP="00C41AE9">
      <w:pPr>
        <w:ind w:left="360"/>
      </w:pPr>
      <w:r>
        <w:t>HYKS Elinsiirto- ja maksakirurgia</w:t>
      </w:r>
    </w:p>
    <w:p w:rsidR="00C41AE9" w:rsidRPr="00C41AE9" w:rsidRDefault="00C41AE9" w:rsidP="00C41AE9">
      <w:pPr>
        <w:ind w:left="360"/>
        <w:rPr>
          <w:sz w:val="16"/>
          <w:szCs w:val="16"/>
        </w:rPr>
      </w:pPr>
      <w:r w:rsidRPr="00C41AE9">
        <w:rPr>
          <w:sz w:val="16"/>
          <w:szCs w:val="16"/>
        </w:rPr>
        <w:t xml:space="preserve">HYKS työryhmä: Ilkka Helanterä, Agneta Ekstrand, Fernanda Ortiz, Patrik Finne, Eero Honkanen, Marko Lempinen; </w:t>
      </w:r>
      <w:r>
        <w:rPr>
          <w:sz w:val="16"/>
          <w:szCs w:val="16"/>
        </w:rPr>
        <w:t>menettelystä</w:t>
      </w:r>
      <w:r w:rsidRPr="00C41AE9">
        <w:rPr>
          <w:sz w:val="16"/>
          <w:szCs w:val="16"/>
        </w:rPr>
        <w:t xml:space="preserve"> keskusteltu HYKS- koulutustilaisuudessa 12.4.2018</w:t>
      </w:r>
    </w:p>
    <w:sectPr w:rsidR="00C41AE9" w:rsidRPr="00C41AE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4D0E"/>
    <w:multiLevelType w:val="hybridMultilevel"/>
    <w:tmpl w:val="BB3A250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D135A97"/>
    <w:multiLevelType w:val="multilevel"/>
    <w:tmpl w:val="6D7C9DB4"/>
    <w:lvl w:ilvl="0">
      <w:start w:val="1"/>
      <w:numFmt w:val="decimal"/>
      <w:pStyle w:val="Otsikko1"/>
      <w:suff w:val="space"/>
      <w:lvlText w:val="%1 "/>
      <w:lvlJc w:val="left"/>
      <w:pPr>
        <w:tabs>
          <w:tab w:val="num" w:pos="0"/>
        </w:tabs>
        <w:ind w:left="0" w:firstLine="0"/>
      </w:pPr>
    </w:lvl>
    <w:lvl w:ilvl="1">
      <w:start w:val="1"/>
      <w:numFmt w:val="decimal"/>
      <w:pStyle w:val="Otsikko2"/>
      <w:suff w:val="space"/>
      <w:lvlText w:val="%1.%2 "/>
      <w:lvlJc w:val="left"/>
      <w:pPr>
        <w:tabs>
          <w:tab w:val="num" w:pos="0"/>
        </w:tabs>
        <w:ind w:left="0" w:firstLine="0"/>
      </w:pPr>
    </w:lvl>
    <w:lvl w:ilvl="2">
      <w:start w:val="1"/>
      <w:numFmt w:val="decimal"/>
      <w:pStyle w:val="Otsikko3"/>
      <w:suff w:val="space"/>
      <w:lvlText w:val="%1.%2.%3 "/>
      <w:lvlJc w:val="left"/>
      <w:pPr>
        <w:tabs>
          <w:tab w:val="num" w:pos="0"/>
        </w:tabs>
        <w:ind w:left="0" w:firstLine="0"/>
      </w:pPr>
    </w:lvl>
    <w:lvl w:ilvl="3">
      <w:start w:val="1"/>
      <w:numFmt w:val="decimal"/>
      <w:pStyle w:val="Otsikko4"/>
      <w:suff w:val="space"/>
      <w:lvlText w:val="%1.%2.%3.%4 "/>
      <w:lvlJc w:val="left"/>
      <w:pPr>
        <w:tabs>
          <w:tab w:val="num" w:pos="0"/>
        </w:tabs>
        <w:ind w:left="0" w:firstLine="0"/>
      </w:pPr>
    </w:lvl>
    <w:lvl w:ilvl="4">
      <w:start w:val="1"/>
      <w:numFmt w:val="decimal"/>
      <w:pStyle w:val="Otsikko5"/>
      <w:suff w:val="space"/>
      <w:lvlText w:val="%1.%2.%3.%4.%5 "/>
      <w:lvlJc w:val="left"/>
      <w:pPr>
        <w:tabs>
          <w:tab w:val="num" w:pos="0"/>
        </w:tabs>
        <w:ind w:left="0" w:firstLine="0"/>
      </w:pPr>
    </w:lvl>
    <w:lvl w:ilvl="5">
      <w:start w:val="1"/>
      <w:numFmt w:val="decimal"/>
      <w:pStyle w:val="Otsikko6"/>
      <w:suff w:val="space"/>
      <w:lvlText w:val="%1.%2.%3.%4.%5.%6 "/>
      <w:lvlJc w:val="left"/>
      <w:pPr>
        <w:tabs>
          <w:tab w:val="num" w:pos="0"/>
        </w:tabs>
        <w:ind w:left="0" w:firstLine="0"/>
      </w:pPr>
    </w:lvl>
    <w:lvl w:ilvl="6">
      <w:start w:val="1"/>
      <w:numFmt w:val="decimal"/>
      <w:pStyle w:val="Otsikko7"/>
      <w:suff w:val="space"/>
      <w:lvlText w:val="%1.%2.%3.%4.%5.%6.%7 "/>
      <w:lvlJc w:val="left"/>
      <w:pPr>
        <w:tabs>
          <w:tab w:val="num" w:pos="0"/>
        </w:tabs>
        <w:ind w:left="0" w:firstLine="0"/>
      </w:pPr>
    </w:lvl>
    <w:lvl w:ilvl="7">
      <w:start w:val="1"/>
      <w:numFmt w:val="decimal"/>
      <w:pStyle w:val="Otsikko8"/>
      <w:suff w:val="space"/>
      <w:lvlText w:val="%1.%2.%3.%4.%5.%6.%7.%8 "/>
      <w:lvlJc w:val="left"/>
      <w:pPr>
        <w:tabs>
          <w:tab w:val="num" w:pos="0"/>
        </w:tabs>
        <w:ind w:left="0" w:firstLine="0"/>
      </w:pPr>
    </w:lvl>
    <w:lvl w:ilvl="8">
      <w:start w:val="1"/>
      <w:numFmt w:val="decimal"/>
      <w:pStyle w:val="Otsikko9"/>
      <w:suff w:val="space"/>
      <w:lvlText w:val="%1.%2.%3.%4.%5.%6.%7.%8.%9 "/>
      <w:lvlJc w:val="left"/>
      <w:pPr>
        <w:tabs>
          <w:tab w:val="num" w:pos="0"/>
        </w:tabs>
        <w:ind w:left="0" w:firstLine="0"/>
      </w:pPr>
    </w:lvl>
  </w:abstractNum>
  <w:abstractNum w:abstractNumId="2">
    <w:nsid w:val="5A596227"/>
    <w:multiLevelType w:val="hybridMultilevel"/>
    <w:tmpl w:val="A3462816"/>
    <w:lvl w:ilvl="0" w:tplc="68724EB4">
      <w:start w:val="20"/>
      <w:numFmt w:val="bullet"/>
      <w:lvlText w:val="-"/>
      <w:lvlJc w:val="left"/>
      <w:pPr>
        <w:ind w:left="720" w:hanging="360"/>
      </w:pPr>
      <w:rPr>
        <w:rFonts w:ascii="Calibri" w:eastAsiaTheme="minorHAnsi" w:hAnsi="Calibri" w:cs="Times New Roman"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nsid w:val="713E2490"/>
    <w:multiLevelType w:val="hybridMultilevel"/>
    <w:tmpl w:val="BE9840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4E"/>
    <w:rsid w:val="000A66CF"/>
    <w:rsid w:val="00137081"/>
    <w:rsid w:val="0015479C"/>
    <w:rsid w:val="00615EFD"/>
    <w:rsid w:val="007C4B15"/>
    <w:rsid w:val="008222E9"/>
    <w:rsid w:val="00870982"/>
    <w:rsid w:val="0095624E"/>
    <w:rsid w:val="00A06F50"/>
    <w:rsid w:val="00C04DE0"/>
    <w:rsid w:val="00C41AE9"/>
    <w:rsid w:val="00F220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Sis1"/>
    <w:link w:val="Otsikko1Char"/>
    <w:uiPriority w:val="9"/>
    <w:qFormat/>
    <w:rsid w:val="0095624E"/>
    <w:pPr>
      <w:keepNext/>
      <w:keepLines/>
      <w:numPr>
        <w:numId w:val="1"/>
      </w:numPr>
      <w:suppressAutoHyphens/>
      <w:spacing w:before="240" w:after="240" w:line="240" w:lineRule="auto"/>
      <w:contextualSpacing/>
      <w:outlineLvl w:val="0"/>
    </w:pPr>
    <w:rPr>
      <w:rFonts w:ascii="Arial" w:eastAsiaTheme="majorEastAsia" w:hAnsi="Arial" w:cstheme="majorBidi"/>
      <w:b/>
      <w:bCs/>
      <w:szCs w:val="28"/>
    </w:rPr>
  </w:style>
  <w:style w:type="paragraph" w:styleId="Otsikko2">
    <w:name w:val="heading 2"/>
    <w:basedOn w:val="Normaali"/>
    <w:next w:val="Sis1"/>
    <w:link w:val="Otsikko2Char"/>
    <w:uiPriority w:val="9"/>
    <w:qFormat/>
    <w:rsid w:val="0095624E"/>
    <w:pPr>
      <w:keepNext/>
      <w:keepLines/>
      <w:numPr>
        <w:ilvl w:val="1"/>
        <w:numId w:val="1"/>
      </w:numPr>
      <w:suppressAutoHyphens/>
      <w:spacing w:before="240" w:after="240" w:line="240" w:lineRule="auto"/>
      <w:contextualSpacing/>
      <w:outlineLvl w:val="1"/>
    </w:pPr>
    <w:rPr>
      <w:rFonts w:ascii="Arial" w:eastAsiaTheme="majorEastAsia" w:hAnsi="Arial" w:cstheme="majorBidi"/>
      <w:b/>
      <w:bCs/>
      <w:szCs w:val="26"/>
    </w:rPr>
  </w:style>
  <w:style w:type="paragraph" w:styleId="Otsikko3">
    <w:name w:val="heading 3"/>
    <w:basedOn w:val="Normaali"/>
    <w:next w:val="Sis1"/>
    <w:link w:val="Otsikko3Char"/>
    <w:uiPriority w:val="9"/>
    <w:qFormat/>
    <w:rsid w:val="0095624E"/>
    <w:pPr>
      <w:keepNext/>
      <w:keepLines/>
      <w:numPr>
        <w:ilvl w:val="2"/>
        <w:numId w:val="1"/>
      </w:numPr>
      <w:suppressAutoHyphens/>
      <w:spacing w:before="240" w:after="240" w:line="240" w:lineRule="auto"/>
      <w:contextualSpacing/>
      <w:outlineLvl w:val="2"/>
    </w:pPr>
    <w:rPr>
      <w:rFonts w:ascii="Arial" w:eastAsiaTheme="majorEastAsia" w:hAnsi="Arial" w:cstheme="majorBidi"/>
      <w:b/>
      <w:bCs/>
    </w:rPr>
  </w:style>
  <w:style w:type="paragraph" w:styleId="Otsikko4">
    <w:name w:val="heading 4"/>
    <w:basedOn w:val="Normaali"/>
    <w:next w:val="Sis1"/>
    <w:link w:val="Otsikko4Char"/>
    <w:uiPriority w:val="9"/>
    <w:qFormat/>
    <w:rsid w:val="0095624E"/>
    <w:pPr>
      <w:keepNext/>
      <w:keepLines/>
      <w:numPr>
        <w:ilvl w:val="3"/>
        <w:numId w:val="1"/>
      </w:numPr>
      <w:spacing w:before="240" w:after="240" w:line="240" w:lineRule="auto"/>
      <w:outlineLvl w:val="3"/>
    </w:pPr>
    <w:rPr>
      <w:rFonts w:ascii="Arial" w:eastAsiaTheme="majorEastAsia" w:hAnsi="Arial" w:cstheme="majorBidi"/>
      <w:b/>
      <w:iCs/>
    </w:rPr>
  </w:style>
  <w:style w:type="paragraph" w:styleId="Otsikko5">
    <w:name w:val="heading 5"/>
    <w:basedOn w:val="Normaali"/>
    <w:next w:val="Normaali"/>
    <w:link w:val="Otsikko5Char"/>
    <w:uiPriority w:val="9"/>
    <w:semiHidden/>
    <w:rsid w:val="0095624E"/>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95624E"/>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95624E"/>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95624E"/>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5624E"/>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5624E"/>
    <w:rPr>
      <w:rFonts w:ascii="Arial" w:eastAsiaTheme="majorEastAsia" w:hAnsi="Arial" w:cstheme="majorBidi"/>
      <w:b/>
      <w:bCs/>
      <w:szCs w:val="28"/>
    </w:rPr>
  </w:style>
  <w:style w:type="character" w:customStyle="1" w:styleId="Otsikko2Char">
    <w:name w:val="Otsikko 2 Char"/>
    <w:basedOn w:val="Kappaleenoletusfontti"/>
    <w:link w:val="Otsikko2"/>
    <w:uiPriority w:val="9"/>
    <w:rsid w:val="0095624E"/>
    <w:rPr>
      <w:rFonts w:ascii="Arial" w:eastAsiaTheme="majorEastAsia" w:hAnsi="Arial" w:cstheme="majorBidi"/>
      <w:b/>
      <w:bCs/>
      <w:szCs w:val="26"/>
    </w:rPr>
  </w:style>
  <w:style w:type="character" w:customStyle="1" w:styleId="Otsikko3Char">
    <w:name w:val="Otsikko 3 Char"/>
    <w:basedOn w:val="Kappaleenoletusfontti"/>
    <w:link w:val="Otsikko3"/>
    <w:uiPriority w:val="9"/>
    <w:rsid w:val="0095624E"/>
    <w:rPr>
      <w:rFonts w:ascii="Arial" w:eastAsiaTheme="majorEastAsia" w:hAnsi="Arial" w:cstheme="majorBidi"/>
      <w:b/>
      <w:bCs/>
    </w:rPr>
  </w:style>
  <w:style w:type="character" w:customStyle="1" w:styleId="Otsikko4Char">
    <w:name w:val="Otsikko 4 Char"/>
    <w:basedOn w:val="Kappaleenoletusfontti"/>
    <w:link w:val="Otsikko4"/>
    <w:uiPriority w:val="9"/>
    <w:rsid w:val="0095624E"/>
    <w:rPr>
      <w:rFonts w:ascii="Arial" w:eastAsiaTheme="majorEastAsia" w:hAnsi="Arial" w:cstheme="majorBidi"/>
      <w:b/>
      <w:iCs/>
    </w:rPr>
  </w:style>
  <w:style w:type="character" w:customStyle="1" w:styleId="Otsikko5Char">
    <w:name w:val="Otsikko 5 Char"/>
    <w:basedOn w:val="Kappaleenoletusfontti"/>
    <w:link w:val="Otsikko5"/>
    <w:uiPriority w:val="9"/>
    <w:semiHidden/>
    <w:rsid w:val="0095624E"/>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95624E"/>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95624E"/>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95624E"/>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95624E"/>
    <w:rPr>
      <w:rFonts w:asciiTheme="majorHAnsi" w:eastAsiaTheme="majorEastAsia" w:hAnsiTheme="majorHAnsi" w:cstheme="majorBidi"/>
      <w:i/>
      <w:iCs/>
      <w:color w:val="272727" w:themeColor="text1" w:themeTint="D8"/>
      <w:sz w:val="21"/>
      <w:szCs w:val="21"/>
    </w:rPr>
  </w:style>
  <w:style w:type="paragraph" w:customStyle="1" w:styleId="Sis1">
    <w:name w:val="Sis 1"/>
    <w:basedOn w:val="Normaali"/>
    <w:uiPriority w:val="24"/>
    <w:qFormat/>
    <w:rsid w:val="0095624E"/>
    <w:pPr>
      <w:spacing w:after="0" w:line="240" w:lineRule="auto"/>
      <w:ind w:left="1304"/>
    </w:pPr>
    <w:rPr>
      <w:rFonts w:ascii="Arial" w:hAnsi="Arial" w:cstheme="minorHAnsi"/>
    </w:rPr>
  </w:style>
  <w:style w:type="paragraph" w:styleId="Luettelokappale">
    <w:name w:val="List Paragraph"/>
    <w:basedOn w:val="Normaali"/>
    <w:uiPriority w:val="34"/>
    <w:qFormat/>
    <w:rsid w:val="00956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Sis1"/>
    <w:link w:val="Otsikko1Char"/>
    <w:uiPriority w:val="9"/>
    <w:qFormat/>
    <w:rsid w:val="0095624E"/>
    <w:pPr>
      <w:keepNext/>
      <w:keepLines/>
      <w:numPr>
        <w:numId w:val="1"/>
      </w:numPr>
      <w:suppressAutoHyphens/>
      <w:spacing w:before="240" w:after="240" w:line="240" w:lineRule="auto"/>
      <w:contextualSpacing/>
      <w:outlineLvl w:val="0"/>
    </w:pPr>
    <w:rPr>
      <w:rFonts w:ascii="Arial" w:eastAsiaTheme="majorEastAsia" w:hAnsi="Arial" w:cstheme="majorBidi"/>
      <w:b/>
      <w:bCs/>
      <w:szCs w:val="28"/>
    </w:rPr>
  </w:style>
  <w:style w:type="paragraph" w:styleId="Otsikko2">
    <w:name w:val="heading 2"/>
    <w:basedOn w:val="Normaali"/>
    <w:next w:val="Sis1"/>
    <w:link w:val="Otsikko2Char"/>
    <w:uiPriority w:val="9"/>
    <w:qFormat/>
    <w:rsid w:val="0095624E"/>
    <w:pPr>
      <w:keepNext/>
      <w:keepLines/>
      <w:numPr>
        <w:ilvl w:val="1"/>
        <w:numId w:val="1"/>
      </w:numPr>
      <w:suppressAutoHyphens/>
      <w:spacing w:before="240" w:after="240" w:line="240" w:lineRule="auto"/>
      <w:contextualSpacing/>
      <w:outlineLvl w:val="1"/>
    </w:pPr>
    <w:rPr>
      <w:rFonts w:ascii="Arial" w:eastAsiaTheme="majorEastAsia" w:hAnsi="Arial" w:cstheme="majorBidi"/>
      <w:b/>
      <w:bCs/>
      <w:szCs w:val="26"/>
    </w:rPr>
  </w:style>
  <w:style w:type="paragraph" w:styleId="Otsikko3">
    <w:name w:val="heading 3"/>
    <w:basedOn w:val="Normaali"/>
    <w:next w:val="Sis1"/>
    <w:link w:val="Otsikko3Char"/>
    <w:uiPriority w:val="9"/>
    <w:qFormat/>
    <w:rsid w:val="0095624E"/>
    <w:pPr>
      <w:keepNext/>
      <w:keepLines/>
      <w:numPr>
        <w:ilvl w:val="2"/>
        <w:numId w:val="1"/>
      </w:numPr>
      <w:suppressAutoHyphens/>
      <w:spacing w:before="240" w:after="240" w:line="240" w:lineRule="auto"/>
      <w:contextualSpacing/>
      <w:outlineLvl w:val="2"/>
    </w:pPr>
    <w:rPr>
      <w:rFonts w:ascii="Arial" w:eastAsiaTheme="majorEastAsia" w:hAnsi="Arial" w:cstheme="majorBidi"/>
      <w:b/>
      <w:bCs/>
    </w:rPr>
  </w:style>
  <w:style w:type="paragraph" w:styleId="Otsikko4">
    <w:name w:val="heading 4"/>
    <w:basedOn w:val="Normaali"/>
    <w:next w:val="Sis1"/>
    <w:link w:val="Otsikko4Char"/>
    <w:uiPriority w:val="9"/>
    <w:qFormat/>
    <w:rsid w:val="0095624E"/>
    <w:pPr>
      <w:keepNext/>
      <w:keepLines/>
      <w:numPr>
        <w:ilvl w:val="3"/>
        <w:numId w:val="1"/>
      </w:numPr>
      <w:spacing w:before="240" w:after="240" w:line="240" w:lineRule="auto"/>
      <w:outlineLvl w:val="3"/>
    </w:pPr>
    <w:rPr>
      <w:rFonts w:ascii="Arial" w:eastAsiaTheme="majorEastAsia" w:hAnsi="Arial" w:cstheme="majorBidi"/>
      <w:b/>
      <w:iCs/>
    </w:rPr>
  </w:style>
  <w:style w:type="paragraph" w:styleId="Otsikko5">
    <w:name w:val="heading 5"/>
    <w:basedOn w:val="Normaali"/>
    <w:next w:val="Normaali"/>
    <w:link w:val="Otsikko5Char"/>
    <w:uiPriority w:val="9"/>
    <w:semiHidden/>
    <w:rsid w:val="0095624E"/>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95624E"/>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95624E"/>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95624E"/>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5624E"/>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5624E"/>
    <w:rPr>
      <w:rFonts w:ascii="Arial" w:eastAsiaTheme="majorEastAsia" w:hAnsi="Arial" w:cstheme="majorBidi"/>
      <w:b/>
      <w:bCs/>
      <w:szCs w:val="28"/>
    </w:rPr>
  </w:style>
  <w:style w:type="character" w:customStyle="1" w:styleId="Otsikko2Char">
    <w:name w:val="Otsikko 2 Char"/>
    <w:basedOn w:val="Kappaleenoletusfontti"/>
    <w:link w:val="Otsikko2"/>
    <w:uiPriority w:val="9"/>
    <w:rsid w:val="0095624E"/>
    <w:rPr>
      <w:rFonts w:ascii="Arial" w:eastAsiaTheme="majorEastAsia" w:hAnsi="Arial" w:cstheme="majorBidi"/>
      <w:b/>
      <w:bCs/>
      <w:szCs w:val="26"/>
    </w:rPr>
  </w:style>
  <w:style w:type="character" w:customStyle="1" w:styleId="Otsikko3Char">
    <w:name w:val="Otsikko 3 Char"/>
    <w:basedOn w:val="Kappaleenoletusfontti"/>
    <w:link w:val="Otsikko3"/>
    <w:uiPriority w:val="9"/>
    <w:rsid w:val="0095624E"/>
    <w:rPr>
      <w:rFonts w:ascii="Arial" w:eastAsiaTheme="majorEastAsia" w:hAnsi="Arial" w:cstheme="majorBidi"/>
      <w:b/>
      <w:bCs/>
    </w:rPr>
  </w:style>
  <w:style w:type="character" w:customStyle="1" w:styleId="Otsikko4Char">
    <w:name w:val="Otsikko 4 Char"/>
    <w:basedOn w:val="Kappaleenoletusfontti"/>
    <w:link w:val="Otsikko4"/>
    <w:uiPriority w:val="9"/>
    <w:rsid w:val="0095624E"/>
    <w:rPr>
      <w:rFonts w:ascii="Arial" w:eastAsiaTheme="majorEastAsia" w:hAnsi="Arial" w:cstheme="majorBidi"/>
      <w:b/>
      <w:iCs/>
    </w:rPr>
  </w:style>
  <w:style w:type="character" w:customStyle="1" w:styleId="Otsikko5Char">
    <w:name w:val="Otsikko 5 Char"/>
    <w:basedOn w:val="Kappaleenoletusfontti"/>
    <w:link w:val="Otsikko5"/>
    <w:uiPriority w:val="9"/>
    <w:semiHidden/>
    <w:rsid w:val="0095624E"/>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95624E"/>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95624E"/>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95624E"/>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95624E"/>
    <w:rPr>
      <w:rFonts w:asciiTheme="majorHAnsi" w:eastAsiaTheme="majorEastAsia" w:hAnsiTheme="majorHAnsi" w:cstheme="majorBidi"/>
      <w:i/>
      <w:iCs/>
      <w:color w:val="272727" w:themeColor="text1" w:themeTint="D8"/>
      <w:sz w:val="21"/>
      <w:szCs w:val="21"/>
    </w:rPr>
  </w:style>
  <w:style w:type="paragraph" w:customStyle="1" w:styleId="Sis1">
    <w:name w:val="Sis 1"/>
    <w:basedOn w:val="Normaali"/>
    <w:uiPriority w:val="24"/>
    <w:qFormat/>
    <w:rsid w:val="0095624E"/>
    <w:pPr>
      <w:spacing w:after="0" w:line="240" w:lineRule="auto"/>
      <w:ind w:left="1304"/>
    </w:pPr>
    <w:rPr>
      <w:rFonts w:ascii="Arial" w:hAnsi="Arial" w:cstheme="minorHAnsi"/>
    </w:rPr>
  </w:style>
  <w:style w:type="paragraph" w:styleId="Luettelokappale">
    <w:name w:val="List Paragraph"/>
    <w:basedOn w:val="Normaali"/>
    <w:uiPriority w:val="34"/>
    <w:qFormat/>
    <w:rsid w:val="00956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9282">
      <w:bodyDiv w:val="1"/>
      <w:marLeft w:val="0"/>
      <w:marRight w:val="0"/>
      <w:marTop w:val="0"/>
      <w:marBottom w:val="0"/>
      <w:divBdr>
        <w:top w:val="none" w:sz="0" w:space="0" w:color="auto"/>
        <w:left w:val="none" w:sz="0" w:space="0" w:color="auto"/>
        <w:bottom w:val="none" w:sz="0" w:space="0" w:color="auto"/>
        <w:right w:val="none" w:sz="0" w:space="0" w:color="auto"/>
      </w:divBdr>
    </w:div>
    <w:div w:id="11638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C0EE8750.dotm</Template>
  <TotalTime>0</TotalTime>
  <Pages>1</Pages>
  <Words>332</Words>
  <Characters>2693</Characters>
  <Application>Microsoft Office Word</Application>
  <DocSecurity>4</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HUS</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Helanterä Ilkka</dc:creator>
  <cp:lastModifiedBy>Huhti Jutta</cp:lastModifiedBy>
  <cp:revision>2</cp:revision>
  <dcterms:created xsi:type="dcterms:W3CDTF">2018-08-17T11:22:00Z</dcterms:created>
  <dcterms:modified xsi:type="dcterms:W3CDTF">2018-08-17T11:22:00Z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37062358</vt:i4>
  </property>
  <property fmtid="{D5CDD505-2E9C-101B-9397-08002B2CF9AE}" pid="3" name="_NewReviewCycle">
    <vt:lpwstr/>
  </property>
  <property fmtid="{D5CDD505-2E9C-101B-9397-08002B2CF9AE}" pid="4" name="_EmailSubject">
    <vt:lpwstr>tiedote SNY:n kautta nefrologeille</vt:lpwstr>
  </property>
  <property fmtid="{D5CDD505-2E9C-101B-9397-08002B2CF9AE}" pid="5" name="_AuthorEmail">
    <vt:lpwstr>Ilkka.Helantera@hus.fi</vt:lpwstr>
  </property>
  <property fmtid="{D5CDD505-2E9C-101B-9397-08002B2CF9AE}" pid="6" name="_AuthorEmailDisplayName">
    <vt:lpwstr>Helanterä Ilkka</vt:lpwstr>
  </property>
  <property fmtid="{D5CDD505-2E9C-101B-9397-08002B2CF9AE}" pid="7" name="_ReviewingToolsShownOnce">
    <vt:lpwstr/>
  </property>
</Properties>
</file>