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JÄSENHAKEMUS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Jäsenyyttä hakeva yritys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Nimi: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Postiosoite:</w:t>
        <w:tab/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Laskutusosoite: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Y-tunnus: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Yrityksen nettisivujen osoite: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Yrityksen henkilökuntamäärä: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Pääyhteyshenkilö, puhelin ja sähköpostiosoite:</w:t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Styl-tiedotuksia vastaanottavat henkilöt (sähköpostiosoitteet):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Haemme varsinaiseksi jäseneksi 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Haemme kannatusjäseneksi ___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Jäsenmaksu vuonna 2023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7"/>
          <w:tab w:val="left" w:leader="none" w:pos="2126"/>
          <w:tab w:val="left" w:leader="none" w:pos="2835"/>
          <w:tab w:val="left" w:leader="none" w:pos="3543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8565"/>
          <w:tab w:val="left" w:leader="none" w:pos="9128"/>
        </w:tabs>
        <w:spacing w:after="0" w:before="0" w:line="240" w:lineRule="auto"/>
        <w:ind w:left="2832" w:right="0" w:hanging="2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7"/>
          <w:tab w:val="left" w:leader="none" w:pos="1985"/>
          <w:tab w:val="left" w:leader="none" w:pos="2126"/>
          <w:tab w:val="left" w:leader="none" w:pos="2835"/>
          <w:tab w:val="left" w:leader="none" w:pos="3969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8565"/>
          <w:tab w:val="left" w:leader="none" w:pos="912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Liittymismaksu </w:t>
        <w:tab/>
        <w:t xml:space="preserve">400,00 €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7"/>
          <w:tab w:val="left" w:leader="none" w:pos="1985"/>
          <w:tab w:val="left" w:leader="none" w:pos="2126"/>
          <w:tab w:val="left" w:leader="none" w:pos="2835"/>
          <w:tab w:val="left" w:leader="none" w:pos="3969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8565"/>
          <w:tab w:val="left" w:leader="none" w:pos="9128"/>
        </w:tabs>
        <w:spacing w:after="0" w:before="0" w:line="240" w:lineRule="auto"/>
        <w:ind w:left="1980" w:right="0" w:hanging="19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Jäsenmaksu 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00,00 €, josta 50 % on käytettävissä liittymistä seuraavan kahden sääntömääräisen kokouksen yhteydessä järjestettävien koulutuspäivien hinnanalennukseen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7"/>
          <w:tab w:val="left" w:leader="none" w:pos="1985"/>
          <w:tab w:val="left" w:leader="none" w:pos="2126"/>
          <w:tab w:val="left" w:leader="none" w:pos="2835"/>
          <w:tab w:val="left" w:leader="none" w:pos="3969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8565"/>
          <w:tab w:val="left" w:leader="none" w:pos="9128"/>
        </w:tabs>
        <w:spacing w:after="0" w:before="0" w:line="240" w:lineRule="auto"/>
        <w:ind w:left="1980" w:right="0" w:hanging="19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Kannatusjäsenmaksu 1000,00 € (ei Suomessa rekisteröity yritys)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a751"/>
          <w:sz w:val="23"/>
          <w:szCs w:val="23"/>
          <w:rtl w:val="0"/>
        </w:rPr>
        <w:t xml:space="preserve">STYL</w:t>
      </w:r>
    </w:p>
    <w:p w:rsidR="00000000" w:rsidDel="00000000" w:rsidP="00000000" w:rsidRDefault="00000000" w:rsidRPr="00000000" w14:paraId="0000001B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STYL on vuonna 1973 perustettu yhdistys, jonka jäseninä ovat kaikki työsuojelualan merkittävimmät yritykset.</w:t>
      </w:r>
    </w:p>
    <w:p w:rsidR="00000000" w:rsidDel="00000000" w:rsidP="00000000" w:rsidRDefault="00000000" w:rsidRPr="00000000" w14:paraId="0000001D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Yhdistyksen tärkeimpiä tehtäviä on yli 40 vuoden ajan ollut kouluttaa jäsenistöään ja vaikuttaa työsuojelualan yleiseen kehitykseen yhdessä viranomaisten kanssa.</w:t>
      </w:r>
    </w:p>
    <w:p w:rsidR="00000000" w:rsidDel="00000000" w:rsidP="00000000" w:rsidRDefault="00000000" w:rsidRPr="00000000" w14:paraId="0000001E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STYL on Eurooppalaisen kattojärjestön European Safety Federation ESF:n jäsen. </w:t>
      </w:r>
    </w:p>
    <w:p w:rsidR="00000000" w:rsidDel="00000000" w:rsidP="00000000" w:rsidRDefault="00000000" w:rsidRPr="00000000" w14:paraId="0000001F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a751"/>
          <w:sz w:val="23"/>
          <w:szCs w:val="23"/>
          <w:rtl w:val="0"/>
        </w:rPr>
        <w:t xml:space="preserve">STYL jäsenyritykset </w:t>
      </w:r>
    </w:p>
    <w:p w:rsidR="00000000" w:rsidDel="00000000" w:rsidP="00000000" w:rsidRDefault="00000000" w:rsidRPr="00000000" w14:paraId="00000021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STYLin jäsenyritysten tarjonta koostuu henkilönsuojaimista, teknisistä laitteista ja työsuojelukoulutuksesta.</w:t>
      </w:r>
    </w:p>
    <w:p w:rsidR="00000000" w:rsidDel="00000000" w:rsidP="00000000" w:rsidRDefault="00000000" w:rsidRPr="00000000" w14:paraId="00000023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Lähes kaikki työturvallisuuden parantamiseen tarvittavat tuotteet ja palvelut ovat saatavissa STYL:iin kuuluvilta yrityksiltä. Alan parhaat ammattilaiset kuuluvat liittoon.</w:t>
      </w:r>
    </w:p>
    <w:p w:rsidR="00000000" w:rsidDel="00000000" w:rsidP="00000000" w:rsidRDefault="00000000" w:rsidRPr="00000000" w14:paraId="00000024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a751"/>
          <w:sz w:val="23"/>
          <w:szCs w:val="23"/>
          <w:rtl w:val="0"/>
        </w:rPr>
        <w:t xml:space="preserve">STYL:n ja sen jäsenten toiminnan periaatteet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Korkea ammattitaito ja erityisosaaminen omalla alallaan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 säädösten noudattaminen sekä kirjaimellisesti että niiden hengen osalta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Hyvien kauppatapojen noudattaminen kilpailutilanteessakin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Hyvien suhteiden ylläpitäminen kilpailijoiden ja viranomaisten kanssa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Aktiivinen osallistuminen ja myötävaikuttaminen oman liiton toimintaan sekä kansallisissa että eurooppalaisissa kysymyksissä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Toimiminen esimerkkinä muille </w:t>
      </w:r>
    </w:p>
    <w:p w:rsidR="00000000" w:rsidDel="00000000" w:rsidP="00000000" w:rsidRDefault="00000000" w:rsidRPr="00000000" w14:paraId="0000002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a751"/>
          <w:sz w:val="23"/>
          <w:szCs w:val="23"/>
          <w:rtl w:val="0"/>
        </w:rPr>
        <w:t xml:space="preserve">STYL jäsenyyden hyödyt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koulutustilaisuudet vähintään kaksi kertaa vuodessa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kuuluminen ammattitaitoiseen yhteisöön ja verkostoituminen alaan vaikuttavien kumppaneiden kanssa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markkinan ja kaupankäyntimahdollisuuksien kasvattaminen yhteistyössä alalla toimivien kanssa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1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HAKIJAYRITYS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Lyhyt yritysesittely: 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Perustelut jäsenyydelle: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165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165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165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165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saanut, lukenut ja hyväksyn yhdistyksen säännöt ___</w:t>
      </w:r>
    </w:p>
    <w:p w:rsidR="00000000" w:rsidDel="00000000" w:rsidP="00000000" w:rsidRDefault="00000000" w:rsidRPr="00000000" w14:paraId="0000004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Paikka, aika</w:t>
      </w:r>
    </w:p>
    <w:p w:rsidR="00000000" w:rsidDel="00000000" w:rsidP="00000000" w:rsidRDefault="00000000" w:rsidRPr="00000000" w14:paraId="00000050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Allekirjoitus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Yhdistyksen hallitus hyväksyy hakemuksesta jäsenet. </w:t>
      </w:r>
    </w:p>
    <w:p w:rsidR="00000000" w:rsidDel="00000000" w:rsidP="00000000" w:rsidRDefault="00000000" w:rsidRPr="00000000" w14:paraId="00000056">
      <w:pPr>
        <w:pageBreakBefore w:val="0"/>
        <w:pBdr>
          <w:bottom w:color="000000" w:space="1" w:sz="6" w:val="single"/>
        </w:pBdr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color="000000" w:space="0" w:sz="0" w:val="none"/>
        </w:pBdr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STYL täyttää: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Hakija on hyväksytty jäseneksi 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Hakijaa ei hyväksytty jäseneksi ___</w:t>
      </w:r>
    </w:p>
    <w:p w:rsidR="00000000" w:rsidDel="00000000" w:rsidP="00000000" w:rsidRDefault="00000000" w:rsidRPr="00000000" w14:paraId="0000005A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Paikka, aika</w:t>
      </w:r>
    </w:p>
    <w:p w:rsidR="00000000" w:rsidDel="00000000" w:rsidP="00000000" w:rsidRDefault="00000000" w:rsidRPr="00000000" w14:paraId="0000005C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Hallituksen puheenjohtaja</w:t>
        <w:tab/>
        <w:tab/>
        <w:t xml:space="preserve">Hallituksen varapuheenjohtaja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40" w:w="11900" w:orient="portrait"/>
      <w:pgMar w:bottom="426" w:top="851" w:left="1191" w:right="701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al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ageBreakBefore w:val="0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4523608" cy="88073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23608" cy="8807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  <w:tab w:val="left" w:leader="none" w:pos="935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>
        <w:widowControl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</w:pPr>
    <w:rPr>
      <w:rFonts w:ascii="Arial Bold" w:cs="Arial Bold" w:eastAsia="Arial Bold" w:hAnsi="Arial Bold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ageBreakBefore w:val="0"/>
    </w:pPr>
    <w:rPr>
      <w:rFonts w:ascii="Calibri" w:cs="Calibri" w:eastAsia="Calibri" w:hAnsi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