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E4" w:rsidRPr="00A50EE4" w:rsidRDefault="00A50EE4" w:rsidP="00A50EE4">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A50EE4">
        <w:rPr>
          <w:rFonts w:ascii="Times New Roman" w:eastAsia="Times New Roman" w:hAnsi="Times New Roman" w:cs="Times New Roman"/>
          <w:b/>
          <w:bCs/>
          <w:caps/>
          <w:color w:val="FFFFFF"/>
          <w:spacing w:val="36"/>
          <w:sz w:val="18"/>
          <w:szCs w:val="18"/>
          <w:lang w:eastAsia="fi-FI"/>
        </w:rPr>
        <w:t>Yleiskirje</w:t>
      </w:r>
    </w:p>
    <w:p w:rsidR="00A50EE4" w:rsidRPr="00A50EE4" w:rsidRDefault="00A50EE4" w:rsidP="00A50EE4">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A50EE4">
        <w:rPr>
          <w:rFonts w:ascii="Times New Roman" w:eastAsia="Times New Roman" w:hAnsi="Times New Roman" w:cs="Times New Roman"/>
          <w:b/>
          <w:bCs/>
          <w:caps/>
          <w:color w:val="FFFFFF"/>
          <w:spacing w:val="36"/>
          <w:sz w:val="18"/>
          <w:szCs w:val="18"/>
          <w:lang w:eastAsia="fi-FI"/>
        </w:rPr>
        <w:t> </w:t>
      </w:r>
    </w:p>
    <w:p w:rsidR="00A50EE4" w:rsidRPr="00A50EE4" w:rsidRDefault="00A50EE4" w:rsidP="00A50EE4">
      <w:pPr>
        <w:shd w:val="clear" w:color="auto" w:fill="25476E"/>
        <w:spacing w:after="0" w:line="240" w:lineRule="auto"/>
        <w:rPr>
          <w:rFonts w:ascii="Times New Roman" w:eastAsia="Times New Roman" w:hAnsi="Times New Roman" w:cs="Times New Roman"/>
          <w:b/>
          <w:bCs/>
          <w:caps/>
          <w:color w:val="FFFFFF"/>
          <w:spacing w:val="36"/>
          <w:sz w:val="18"/>
          <w:szCs w:val="18"/>
          <w:lang w:eastAsia="fi-FI"/>
        </w:rPr>
      </w:pPr>
      <w:r w:rsidRPr="00A50EE4">
        <w:rPr>
          <w:rFonts w:ascii="Times New Roman" w:eastAsia="Times New Roman" w:hAnsi="Times New Roman" w:cs="Times New Roman"/>
          <w:b/>
          <w:bCs/>
          <w:caps/>
          <w:color w:val="FFFFFF"/>
          <w:spacing w:val="36"/>
          <w:sz w:val="18"/>
          <w:szCs w:val="18"/>
          <w:lang w:eastAsia="fi-FI"/>
        </w:rPr>
        <w:t>1/2025</w:t>
      </w:r>
    </w:p>
    <w:p w:rsidR="00A50EE4" w:rsidRPr="00A50EE4" w:rsidRDefault="00A50EE4" w:rsidP="00A50EE4">
      <w:pPr>
        <w:spacing w:after="0" w:line="240" w:lineRule="auto"/>
        <w:rPr>
          <w:rFonts w:ascii="Times New Roman" w:eastAsia="Times New Roman" w:hAnsi="Times New Roman" w:cs="Times New Roman"/>
          <w:color w:val="444444"/>
          <w:sz w:val="24"/>
          <w:szCs w:val="24"/>
          <w:lang w:eastAsia="fi-FI"/>
        </w:rPr>
      </w:pPr>
      <w:r w:rsidRPr="00A50EE4">
        <w:rPr>
          <w:rFonts w:ascii="Times New Roman" w:eastAsia="Times New Roman" w:hAnsi="Times New Roman" w:cs="Times New Roman"/>
          <w:color w:val="444444"/>
          <w:sz w:val="24"/>
          <w:szCs w:val="24"/>
          <w:lang w:eastAsia="fi-FI"/>
        </w:rPr>
        <w:t> </w:t>
      </w:r>
    </w:p>
    <w:p w:rsidR="00A50EE4" w:rsidRPr="00A50EE4" w:rsidRDefault="00A50EE4" w:rsidP="00A50EE4">
      <w:pPr>
        <w:spacing w:after="0" w:line="240" w:lineRule="auto"/>
        <w:rPr>
          <w:rFonts w:ascii="Times New Roman" w:eastAsia="Times New Roman" w:hAnsi="Times New Roman" w:cs="Times New Roman"/>
          <w:b/>
          <w:bCs/>
          <w:color w:val="444444"/>
          <w:sz w:val="28"/>
          <w:szCs w:val="28"/>
          <w:lang w:eastAsia="fi-FI"/>
        </w:rPr>
      </w:pPr>
      <w:r w:rsidRPr="00A50EE4">
        <w:rPr>
          <w:rFonts w:ascii="Times New Roman" w:eastAsia="Times New Roman" w:hAnsi="Times New Roman" w:cs="Times New Roman"/>
          <w:b/>
          <w:bCs/>
          <w:color w:val="444444"/>
          <w:sz w:val="28"/>
          <w:szCs w:val="28"/>
          <w:lang w:eastAsia="fi-FI"/>
        </w:rPr>
        <w:t>16.1.2025</w:t>
      </w:r>
    </w:p>
    <w:p w:rsidR="00A50EE4" w:rsidRPr="00A50EE4" w:rsidRDefault="00A50EE4" w:rsidP="00A50EE4">
      <w:pPr>
        <w:spacing w:after="0" w:line="240" w:lineRule="auto"/>
        <w:rPr>
          <w:rFonts w:ascii="Times New Roman" w:eastAsia="Times New Roman" w:hAnsi="Times New Roman" w:cs="Times New Roman"/>
          <w:b/>
          <w:bCs/>
          <w:sz w:val="28"/>
          <w:szCs w:val="28"/>
          <w:lang w:eastAsia="fi-FI"/>
        </w:rPr>
      </w:pPr>
      <w:r w:rsidRPr="00A50EE4">
        <w:rPr>
          <w:rFonts w:ascii="Times New Roman" w:eastAsia="Times New Roman" w:hAnsi="Times New Roman" w:cs="Times New Roman"/>
          <w:b/>
          <w:bCs/>
          <w:sz w:val="28"/>
          <w:szCs w:val="28"/>
          <w:lang w:eastAsia="fi-FI"/>
        </w:rPr>
        <w:t>Hyvinvointialueille, hyvinvointiyhtymille ja KT:n yritysjäsenille</w:t>
      </w:r>
    </w:p>
    <w:p w:rsidR="00A50EE4" w:rsidRPr="00A50EE4" w:rsidRDefault="00A50EE4" w:rsidP="00A50EE4">
      <w:pPr>
        <w:spacing w:before="100" w:beforeAutospacing="1" w:after="100" w:afterAutospacing="1" w:line="240" w:lineRule="auto"/>
        <w:outlineLvl w:val="0"/>
        <w:rPr>
          <w:rFonts w:ascii="Arial" w:eastAsia="Times New Roman" w:hAnsi="Arial" w:cs="Arial"/>
          <w:b/>
          <w:bCs/>
          <w:color w:val="444444"/>
          <w:spacing w:val="-2"/>
          <w:kern w:val="36"/>
          <w:sz w:val="28"/>
          <w:szCs w:val="28"/>
          <w:lang w:eastAsia="fi-FI"/>
        </w:rPr>
      </w:pPr>
      <w:proofErr w:type="spellStart"/>
      <w:r w:rsidRPr="00A50EE4">
        <w:rPr>
          <w:rFonts w:ascii="Arial" w:eastAsia="Times New Roman" w:hAnsi="Arial" w:cs="Arial"/>
          <w:b/>
          <w:bCs/>
          <w:color w:val="444444"/>
          <w:spacing w:val="-2"/>
          <w:kern w:val="36"/>
          <w:sz w:val="28"/>
          <w:szCs w:val="28"/>
          <w:lang w:eastAsia="fi-FI"/>
        </w:rPr>
        <w:t>HYVTESin</w:t>
      </w:r>
      <w:proofErr w:type="spellEnd"/>
      <w:r w:rsidRPr="00A50EE4">
        <w:rPr>
          <w:rFonts w:ascii="Arial" w:eastAsia="Times New Roman" w:hAnsi="Arial" w:cs="Arial"/>
          <w:b/>
          <w:bCs/>
          <w:color w:val="444444"/>
          <w:spacing w:val="-2"/>
          <w:kern w:val="36"/>
          <w:sz w:val="28"/>
          <w:szCs w:val="28"/>
          <w:lang w:eastAsia="fi-FI"/>
        </w:rPr>
        <w:t xml:space="preserve"> palkkojen yhteensovittamisen, palkkauksen kehittämisen ja palkkausjärjestelmien käyttöönotosta sovitun virka- ja työehtosopimuksen paikallisen erän kohdentaminen 1.2.2025 lukien</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bookmarkStart w:id="0" w:name="_GoBack"/>
      <w:bookmarkEnd w:id="0"/>
      <w:r w:rsidRPr="00A50EE4">
        <w:rPr>
          <w:rFonts w:ascii="Times New Roman" w:eastAsia="Times New Roman" w:hAnsi="Times New Roman" w:cs="Times New Roman"/>
          <w:color w:val="444444"/>
          <w:sz w:val="28"/>
          <w:szCs w:val="28"/>
          <w:lang w:eastAsia="fi-FI"/>
        </w:rPr>
        <w:t xml:space="preserve">Vuoden 2022 </w:t>
      </w:r>
      <w:proofErr w:type="spellStart"/>
      <w:r w:rsidRPr="00A50EE4">
        <w:rPr>
          <w:rFonts w:ascii="Times New Roman" w:eastAsia="Times New Roman" w:hAnsi="Times New Roman" w:cs="Times New Roman"/>
          <w:color w:val="444444"/>
          <w:sz w:val="28"/>
          <w:szCs w:val="28"/>
          <w:lang w:eastAsia="fi-FI"/>
        </w:rPr>
        <w:t>HYVTESin</w:t>
      </w:r>
      <w:proofErr w:type="spellEnd"/>
      <w:r w:rsidRPr="00A50EE4">
        <w:rPr>
          <w:rFonts w:ascii="Times New Roman" w:eastAsia="Times New Roman" w:hAnsi="Times New Roman" w:cs="Times New Roman"/>
          <w:color w:val="444444"/>
          <w:sz w:val="28"/>
          <w:szCs w:val="28"/>
          <w:lang w:eastAsia="fi-FI"/>
        </w:rPr>
        <w:t xml:space="preserve"> palkkojen yhteensovittamisen, palkkauksen kehittämisen ja palkkausjärjestelmien käyttöönotosta sovitun virka- ja työehtosopimuksen keskimmäisen paikallisen erän 2,0 prosentin siirtämisestä sovittiin erillisellä virka- ja työehtosopimuksella 5.9.2024 (ks. yleiskirje 15/2024). Erä siirrettiin käytettäväksi 1.2.2025 lukien. Erä maksetaan </w:t>
      </w:r>
      <w:proofErr w:type="spellStart"/>
      <w:r w:rsidRPr="00A50EE4">
        <w:rPr>
          <w:rFonts w:ascii="Times New Roman" w:eastAsia="Times New Roman" w:hAnsi="Times New Roman" w:cs="Times New Roman"/>
          <w:color w:val="444444"/>
          <w:sz w:val="28"/>
          <w:szCs w:val="28"/>
          <w:lang w:eastAsia="fi-FI"/>
        </w:rPr>
        <w:t>HYVTESin</w:t>
      </w:r>
      <w:proofErr w:type="spellEnd"/>
      <w:r w:rsidRPr="00A50EE4">
        <w:rPr>
          <w:rFonts w:ascii="Times New Roman" w:eastAsia="Times New Roman" w:hAnsi="Times New Roman" w:cs="Times New Roman"/>
          <w:color w:val="444444"/>
          <w:sz w:val="28"/>
          <w:szCs w:val="28"/>
          <w:lang w:eastAsia="fi-FI"/>
        </w:rPr>
        <w:t xml:space="preserve"> 2022–2025 allekirjoituspöytäkirjan 10 pykälän mukaisessa aikataulussa.</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r w:rsidRPr="00A50EE4">
        <w:rPr>
          <w:rFonts w:ascii="Times New Roman" w:eastAsia="Times New Roman" w:hAnsi="Times New Roman" w:cs="Times New Roman"/>
          <w:color w:val="444444"/>
          <w:sz w:val="28"/>
          <w:szCs w:val="28"/>
          <w:lang w:eastAsia="fi-FI"/>
        </w:rPr>
        <w:t>Tällä yleiskirjeellä annetaan ohjeita paikallisen erän 2,0 % jakamisesta 1.2.2025 lukien.</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r w:rsidRPr="00A50EE4">
        <w:rPr>
          <w:rFonts w:ascii="Times New Roman" w:eastAsia="Times New Roman" w:hAnsi="Times New Roman" w:cs="Times New Roman"/>
          <w:color w:val="444444"/>
          <w:sz w:val="28"/>
          <w:szCs w:val="28"/>
          <w:lang w:eastAsia="fi-FI"/>
        </w:rPr>
        <w:t>Yleiskirje on laadittu yhdessä pääsopijajärjestöjen JAU ry:n, JUKO ry:n ja SOTE ry:n kanssa ja sopijaosapuolet ovat sen sisällöstä yksimielisiä.</w:t>
      </w:r>
    </w:p>
    <w:p w:rsidR="00A50EE4" w:rsidRPr="00A50EE4" w:rsidRDefault="00A50EE4" w:rsidP="00A50EE4">
      <w:pPr>
        <w:spacing w:before="100" w:beforeAutospacing="1" w:after="100" w:afterAutospacing="1" w:line="240" w:lineRule="auto"/>
        <w:outlineLvl w:val="1"/>
        <w:rPr>
          <w:rFonts w:ascii="Arial" w:eastAsia="Times New Roman" w:hAnsi="Arial" w:cs="Arial"/>
          <w:b/>
          <w:bCs/>
          <w:color w:val="444444"/>
          <w:spacing w:val="-2"/>
          <w:sz w:val="28"/>
          <w:szCs w:val="28"/>
          <w:lang w:eastAsia="fi-FI"/>
        </w:rPr>
      </w:pPr>
      <w:proofErr w:type="spellStart"/>
      <w:r w:rsidRPr="00A50EE4">
        <w:rPr>
          <w:rFonts w:ascii="Arial" w:eastAsia="Times New Roman" w:hAnsi="Arial" w:cs="Arial"/>
          <w:b/>
          <w:bCs/>
          <w:color w:val="444444"/>
          <w:spacing w:val="-2"/>
          <w:sz w:val="28"/>
          <w:szCs w:val="28"/>
          <w:lang w:eastAsia="fi-FI"/>
        </w:rPr>
        <w:t>HYVTESin</w:t>
      </w:r>
      <w:proofErr w:type="spellEnd"/>
      <w:r w:rsidRPr="00A50EE4">
        <w:rPr>
          <w:rFonts w:ascii="Arial" w:eastAsia="Times New Roman" w:hAnsi="Arial" w:cs="Arial"/>
          <w:b/>
          <w:bCs/>
          <w:color w:val="444444"/>
          <w:spacing w:val="-2"/>
          <w:sz w:val="28"/>
          <w:szCs w:val="28"/>
          <w:lang w:eastAsia="fi-FI"/>
        </w:rPr>
        <w:t xml:space="preserve"> palkkausjärjestelmäuudistuksen tilanne</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proofErr w:type="spellStart"/>
      <w:r w:rsidRPr="00A50EE4">
        <w:rPr>
          <w:rFonts w:ascii="Times New Roman" w:eastAsia="Times New Roman" w:hAnsi="Times New Roman" w:cs="Times New Roman"/>
          <w:color w:val="444444"/>
          <w:sz w:val="28"/>
          <w:szCs w:val="28"/>
          <w:lang w:eastAsia="fi-FI"/>
        </w:rPr>
        <w:t>HYVTESin</w:t>
      </w:r>
      <w:proofErr w:type="spellEnd"/>
      <w:r w:rsidRPr="00A50EE4">
        <w:rPr>
          <w:rFonts w:ascii="Times New Roman" w:eastAsia="Times New Roman" w:hAnsi="Times New Roman" w:cs="Times New Roman"/>
          <w:color w:val="444444"/>
          <w:sz w:val="28"/>
          <w:szCs w:val="28"/>
          <w:lang w:eastAsia="fi-FI"/>
        </w:rPr>
        <w:t xml:space="preserve"> palkkausjärjestelmäuudistus on kesken. Tarkoitus on uudistaa palkkausluvun palkkahinnoittelukohtia ja tehtävästä maksettavan palkan määräykset valtakunnallisen palkkaustyöryhmän saaman toimeksiannon mukaisesti. </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r w:rsidRPr="00A50EE4">
        <w:rPr>
          <w:rFonts w:ascii="Times New Roman" w:eastAsia="Times New Roman" w:hAnsi="Times New Roman" w:cs="Times New Roman"/>
          <w:color w:val="444444"/>
          <w:sz w:val="28"/>
          <w:szCs w:val="28"/>
          <w:lang w:eastAsia="fi-FI"/>
        </w:rPr>
        <w:t>Kentällä simuloidaan tällä hetkellä ns. tasopalkkajärjestelmää muiden kuin liitteen 7 osalta. Uudistus pyritään saattamaan päätökseen samassa aikataulussa SOTE-sopimuksen uudistuksen kanssa. Uusi tavoite palkkausjärjestelmäuudistukselle on 31.5.2025 siten, että järjestelmä voitaisiin ottaa käyttöön 1.6.2025 lukien takautuvasti kohtuullisen siirtymäajan kuluessa. Liitteen 7 palkkausjärjestelmäuudistus valmistuu myöhemmin.</w:t>
      </w:r>
    </w:p>
    <w:p w:rsidR="00A50EE4" w:rsidRPr="00A50EE4" w:rsidRDefault="00A50EE4" w:rsidP="00A50EE4">
      <w:pPr>
        <w:spacing w:before="100" w:beforeAutospacing="1" w:after="100" w:afterAutospacing="1" w:line="240" w:lineRule="auto"/>
        <w:outlineLvl w:val="1"/>
        <w:rPr>
          <w:rFonts w:ascii="Arial" w:eastAsia="Times New Roman" w:hAnsi="Arial" w:cs="Arial"/>
          <w:b/>
          <w:bCs/>
          <w:color w:val="444444"/>
          <w:spacing w:val="-2"/>
          <w:sz w:val="28"/>
          <w:szCs w:val="28"/>
          <w:lang w:eastAsia="fi-FI"/>
        </w:rPr>
      </w:pPr>
      <w:r w:rsidRPr="00A50EE4">
        <w:rPr>
          <w:rFonts w:ascii="Arial" w:eastAsia="Times New Roman" w:hAnsi="Arial" w:cs="Arial"/>
          <w:b/>
          <w:bCs/>
          <w:color w:val="444444"/>
          <w:spacing w:val="-2"/>
          <w:sz w:val="28"/>
          <w:szCs w:val="28"/>
          <w:lang w:eastAsia="fi-FI"/>
        </w:rPr>
        <w:t>Paikallisen erän kohdentaminen 1.2.2025 lukien</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r w:rsidRPr="00A50EE4">
        <w:rPr>
          <w:rFonts w:ascii="Times New Roman" w:eastAsia="Times New Roman" w:hAnsi="Times New Roman" w:cs="Times New Roman"/>
          <w:color w:val="444444"/>
          <w:sz w:val="28"/>
          <w:szCs w:val="28"/>
          <w:lang w:eastAsia="fi-FI"/>
        </w:rPr>
        <w:t xml:space="preserve">Paikallinen erä on tarkoitettu palkkojen yhteensovittamiseen, palkkauksen kehittämiseen ja/tai palkkausjärjestelmien käyttöönottoon. Palkkausjärjestelmäuudistuksen ollessa kesken erää voidaan kohdentaa esimerkiksi tehtäväkohtaisten palkkojen yhteensovittamiseen. Erää voidaan myös kohdentaa sellaisiin tehtäviin, jotka edellyttävät perustehtävää laajempaa tai syvällisempää osaamista ja vastuuta ja jotka todennäköisesti tasopalkkajärjestelmässä eivät ole </w:t>
      </w:r>
      <w:r w:rsidRPr="00A50EE4">
        <w:rPr>
          <w:rFonts w:ascii="Times New Roman" w:eastAsia="Times New Roman" w:hAnsi="Times New Roman" w:cs="Times New Roman"/>
          <w:color w:val="444444"/>
          <w:sz w:val="28"/>
          <w:szCs w:val="28"/>
          <w:lang w:eastAsia="fi-FI"/>
        </w:rPr>
        <w:lastRenderedPageBreak/>
        <w:t>perustehtävän tasolla. Tarkastelussa hinnoittelemattomat tehtävät ovat mukana omina ryhminään. Viime sijassa erää voidaan kohdentaa toistaiseksi voimassa oleviin henkilökohtaisiin lisiin.</w:t>
      </w:r>
    </w:p>
    <w:p w:rsidR="00A50EE4" w:rsidRPr="00A50EE4" w:rsidRDefault="00A50EE4" w:rsidP="00A50EE4">
      <w:pPr>
        <w:spacing w:before="100" w:beforeAutospacing="1" w:after="100" w:afterAutospacing="1" w:line="240" w:lineRule="auto"/>
        <w:outlineLvl w:val="1"/>
        <w:rPr>
          <w:rFonts w:ascii="Arial" w:eastAsia="Times New Roman" w:hAnsi="Arial" w:cs="Arial"/>
          <w:b/>
          <w:bCs/>
          <w:color w:val="444444"/>
          <w:spacing w:val="-2"/>
          <w:sz w:val="28"/>
          <w:szCs w:val="28"/>
          <w:lang w:eastAsia="fi-FI"/>
        </w:rPr>
      </w:pPr>
      <w:r w:rsidRPr="00A50EE4">
        <w:rPr>
          <w:rFonts w:ascii="Arial" w:eastAsia="Times New Roman" w:hAnsi="Arial" w:cs="Arial"/>
          <w:b/>
          <w:bCs/>
          <w:color w:val="444444"/>
          <w:spacing w:val="-2"/>
          <w:sz w:val="28"/>
          <w:szCs w:val="28"/>
          <w:lang w:eastAsia="fi-FI"/>
        </w:rPr>
        <w:t>Paikallisen erän täytäntöönpano ja neuvottelumenettely</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r w:rsidRPr="00A50EE4">
        <w:rPr>
          <w:rFonts w:ascii="Times New Roman" w:eastAsia="Times New Roman" w:hAnsi="Times New Roman" w:cs="Times New Roman"/>
          <w:color w:val="444444"/>
          <w:sz w:val="28"/>
          <w:szCs w:val="28"/>
          <w:lang w:eastAsia="fi-FI"/>
        </w:rPr>
        <w:t>Paikallisen työnantajan edustajat ja pääsopijajärjestöjen edustajat neuvottelevat paikallisen erän kohdentamisesta. Laskentaperiaatteet käydään läpi ensimmäisessä neuvottelussa. (katso tarkemmin KT:n yleiskirje 2/2023). Neuvotteluissa on tarkoitus antaa henkilöstölle tosiasiallinen vaikutusmahdollisuus ja pyrkiä mahdollisuuksien mukaan yksimielisyyteen kuulemalla tasavertaisesti neuvotteluosapuolia. Jollei asiasta päästä yksimielisyyteen, työnantaja päättää paikallisen erän käytöstä edellä mainittujen kriteerien mukaisesti.</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r w:rsidRPr="00A50EE4">
        <w:rPr>
          <w:rFonts w:ascii="Times New Roman" w:eastAsia="Times New Roman" w:hAnsi="Times New Roman" w:cs="Times New Roman"/>
          <w:color w:val="444444"/>
          <w:sz w:val="28"/>
          <w:szCs w:val="28"/>
          <w:lang w:eastAsia="fi-FI"/>
        </w:rPr>
        <w:t>Neuvotteluista laaditaan pöytäkirja, josta käy ilmi osapuolten näkemykset mahdollisine perusteluineen.</w:t>
      </w:r>
    </w:p>
    <w:p w:rsidR="00A50EE4" w:rsidRPr="00A50EE4" w:rsidRDefault="00A50EE4" w:rsidP="00A50EE4">
      <w:pPr>
        <w:spacing w:before="100" w:beforeAutospacing="1" w:after="100" w:afterAutospacing="1" w:line="240" w:lineRule="auto"/>
        <w:outlineLvl w:val="1"/>
        <w:rPr>
          <w:rFonts w:ascii="Arial" w:eastAsia="Times New Roman" w:hAnsi="Arial" w:cs="Arial"/>
          <w:b/>
          <w:bCs/>
          <w:color w:val="444444"/>
          <w:spacing w:val="-2"/>
          <w:sz w:val="28"/>
          <w:szCs w:val="28"/>
          <w:lang w:eastAsia="fi-FI"/>
        </w:rPr>
      </w:pPr>
      <w:r w:rsidRPr="00A50EE4">
        <w:rPr>
          <w:rFonts w:ascii="Arial" w:eastAsia="Times New Roman" w:hAnsi="Arial" w:cs="Arial"/>
          <w:b/>
          <w:bCs/>
          <w:color w:val="444444"/>
          <w:spacing w:val="-2"/>
          <w:sz w:val="28"/>
          <w:szCs w:val="28"/>
          <w:lang w:eastAsia="fi-FI"/>
        </w:rPr>
        <w:t>Selvitys erän käytöstä</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r w:rsidRPr="00A50EE4">
        <w:rPr>
          <w:rFonts w:ascii="Times New Roman" w:eastAsia="Times New Roman" w:hAnsi="Times New Roman" w:cs="Times New Roman"/>
          <w:color w:val="444444"/>
          <w:sz w:val="28"/>
          <w:szCs w:val="28"/>
          <w:lang w:eastAsia="fi-FI"/>
        </w:rPr>
        <w:t>Työnantajan on annettava pääsopijajärjestöjen edustajille kirjallinen selvitys ilman aiheetonta viivytystä siitä, miten paikallinen erä on jaettu. Selvityksestä tulee käydä ilmi erän piirissä olevien viranhaltijoiden/työntekijöiden palkkasumma. Selvityksestä on käytävä ilmi erän suuruus euromääräisenä. Selvityksessä on käytävä ilmi erän kohdentuminen sekä erän käytön kustannusvaikutus. Tärkeintä on, että pääsopijajärjestöjen edustajat voivat tietojen perusteella varmistua, että paikallisen erän kustannusvaikutus täyttyy ja miten erä on kohdentunut.</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r w:rsidRPr="00A50EE4">
        <w:rPr>
          <w:rFonts w:ascii="Times New Roman" w:eastAsia="Times New Roman" w:hAnsi="Times New Roman" w:cs="Times New Roman"/>
          <w:color w:val="444444"/>
          <w:sz w:val="28"/>
          <w:szCs w:val="28"/>
          <w:lang w:eastAsia="fi-FI"/>
        </w:rPr>
        <w:t>KUNTA- JA HYVINVOINTIALUETYÖNANTAJAT KT</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r w:rsidRPr="00A50EE4">
        <w:rPr>
          <w:rFonts w:ascii="Times New Roman" w:eastAsia="Times New Roman" w:hAnsi="Times New Roman" w:cs="Times New Roman"/>
          <w:color w:val="444444"/>
          <w:sz w:val="28"/>
          <w:szCs w:val="28"/>
          <w:lang w:eastAsia="fi-FI"/>
        </w:rPr>
        <w:t>Toimitusjohtaja Markku Jalonen</w:t>
      </w:r>
    </w:p>
    <w:p w:rsidR="00A50EE4" w:rsidRPr="00A50EE4" w:rsidRDefault="00A50EE4" w:rsidP="00A50EE4">
      <w:pPr>
        <w:spacing w:before="100" w:beforeAutospacing="1" w:after="100" w:afterAutospacing="1" w:line="240" w:lineRule="auto"/>
        <w:rPr>
          <w:rFonts w:ascii="Times New Roman" w:eastAsia="Times New Roman" w:hAnsi="Times New Roman" w:cs="Times New Roman"/>
          <w:color w:val="444444"/>
          <w:sz w:val="28"/>
          <w:szCs w:val="28"/>
          <w:lang w:eastAsia="fi-FI"/>
        </w:rPr>
      </w:pPr>
      <w:r w:rsidRPr="00A50EE4">
        <w:rPr>
          <w:rFonts w:ascii="Times New Roman" w:eastAsia="Times New Roman" w:hAnsi="Times New Roman" w:cs="Times New Roman"/>
          <w:color w:val="444444"/>
          <w:sz w:val="28"/>
          <w:szCs w:val="28"/>
          <w:lang w:eastAsia="fi-FI"/>
        </w:rPr>
        <w:t xml:space="preserve">Neuvottelujohtaja </w:t>
      </w:r>
      <w:proofErr w:type="spellStart"/>
      <w:r w:rsidRPr="00A50EE4">
        <w:rPr>
          <w:rFonts w:ascii="Times New Roman" w:eastAsia="Times New Roman" w:hAnsi="Times New Roman" w:cs="Times New Roman"/>
          <w:color w:val="444444"/>
          <w:sz w:val="28"/>
          <w:szCs w:val="28"/>
          <w:lang w:eastAsia="fi-FI"/>
        </w:rPr>
        <w:t>Henrika</w:t>
      </w:r>
      <w:proofErr w:type="spellEnd"/>
      <w:r w:rsidRPr="00A50EE4">
        <w:rPr>
          <w:rFonts w:ascii="Times New Roman" w:eastAsia="Times New Roman" w:hAnsi="Times New Roman" w:cs="Times New Roman"/>
          <w:color w:val="444444"/>
          <w:sz w:val="28"/>
          <w:szCs w:val="28"/>
          <w:lang w:eastAsia="fi-FI"/>
        </w:rPr>
        <w:t xml:space="preserve"> </w:t>
      </w:r>
      <w:proofErr w:type="spellStart"/>
      <w:r w:rsidRPr="00A50EE4">
        <w:rPr>
          <w:rFonts w:ascii="Times New Roman" w:eastAsia="Times New Roman" w:hAnsi="Times New Roman" w:cs="Times New Roman"/>
          <w:color w:val="444444"/>
          <w:sz w:val="28"/>
          <w:szCs w:val="28"/>
          <w:lang w:eastAsia="fi-FI"/>
        </w:rPr>
        <w:t>Nybondas</w:t>
      </w:r>
      <w:proofErr w:type="spellEnd"/>
      <w:r w:rsidRPr="00A50EE4">
        <w:rPr>
          <w:rFonts w:ascii="Times New Roman" w:eastAsia="Times New Roman" w:hAnsi="Times New Roman" w:cs="Times New Roman"/>
          <w:color w:val="444444"/>
          <w:sz w:val="28"/>
          <w:szCs w:val="28"/>
          <w:lang w:eastAsia="fi-FI"/>
        </w:rPr>
        <w:t>-Kangas</w:t>
      </w:r>
    </w:p>
    <w:p w:rsidR="00406645" w:rsidRPr="00A50EE4" w:rsidRDefault="00A50EE4" w:rsidP="00A50EE4">
      <w:pPr>
        <w:spacing w:after="0"/>
        <w:rPr>
          <w:rFonts w:cstheme="minorHAnsi"/>
          <w:sz w:val="28"/>
          <w:szCs w:val="28"/>
        </w:rPr>
      </w:pPr>
    </w:p>
    <w:sectPr w:rsidR="00406645" w:rsidRPr="00A50EE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E4"/>
    <w:rsid w:val="003451FA"/>
    <w:rsid w:val="003A2495"/>
    <w:rsid w:val="008F22B7"/>
    <w:rsid w:val="00A50E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AFED2-0E08-4973-8421-8A7ACC79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613824">
      <w:bodyDiv w:val="1"/>
      <w:marLeft w:val="0"/>
      <w:marRight w:val="0"/>
      <w:marTop w:val="0"/>
      <w:marBottom w:val="0"/>
      <w:divBdr>
        <w:top w:val="none" w:sz="0" w:space="0" w:color="auto"/>
        <w:left w:val="none" w:sz="0" w:space="0" w:color="auto"/>
        <w:bottom w:val="none" w:sz="0" w:space="0" w:color="auto"/>
        <w:right w:val="none" w:sz="0" w:space="0" w:color="auto"/>
      </w:divBdr>
      <w:divsChild>
        <w:div w:id="801926346">
          <w:marLeft w:val="0"/>
          <w:marRight w:val="0"/>
          <w:marTop w:val="0"/>
          <w:marBottom w:val="0"/>
          <w:divBdr>
            <w:top w:val="none" w:sz="0" w:space="0" w:color="auto"/>
            <w:left w:val="none" w:sz="0" w:space="0" w:color="auto"/>
            <w:bottom w:val="none" w:sz="0" w:space="0" w:color="auto"/>
            <w:right w:val="none" w:sz="0" w:space="0" w:color="auto"/>
          </w:divBdr>
          <w:divsChild>
            <w:div w:id="2059426887">
              <w:marLeft w:val="0"/>
              <w:marRight w:val="0"/>
              <w:marTop w:val="0"/>
              <w:marBottom w:val="0"/>
              <w:divBdr>
                <w:top w:val="none" w:sz="0" w:space="0" w:color="auto"/>
                <w:left w:val="none" w:sz="0" w:space="0" w:color="auto"/>
                <w:bottom w:val="none" w:sz="0" w:space="0" w:color="auto"/>
                <w:right w:val="none" w:sz="0" w:space="0" w:color="auto"/>
              </w:divBdr>
              <w:divsChild>
                <w:div w:id="2026588506">
                  <w:marLeft w:val="0"/>
                  <w:marRight w:val="0"/>
                  <w:marTop w:val="0"/>
                  <w:marBottom w:val="0"/>
                  <w:divBdr>
                    <w:top w:val="none" w:sz="0" w:space="0" w:color="auto"/>
                    <w:left w:val="none" w:sz="0" w:space="0" w:color="auto"/>
                    <w:bottom w:val="none" w:sz="0" w:space="0" w:color="auto"/>
                    <w:right w:val="none" w:sz="0" w:space="0" w:color="auto"/>
                  </w:divBdr>
                  <w:divsChild>
                    <w:div w:id="530805658">
                      <w:marLeft w:val="0"/>
                      <w:marRight w:val="0"/>
                      <w:marTop w:val="0"/>
                      <w:marBottom w:val="0"/>
                      <w:divBdr>
                        <w:top w:val="none" w:sz="0" w:space="0" w:color="auto"/>
                        <w:left w:val="none" w:sz="0" w:space="0" w:color="auto"/>
                        <w:bottom w:val="none" w:sz="0" w:space="0" w:color="auto"/>
                        <w:right w:val="none" w:sz="0" w:space="0" w:color="auto"/>
                      </w:divBdr>
                      <w:divsChild>
                        <w:div w:id="16126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0890">
                  <w:marLeft w:val="0"/>
                  <w:marRight w:val="0"/>
                  <w:marTop w:val="0"/>
                  <w:marBottom w:val="0"/>
                  <w:divBdr>
                    <w:top w:val="none" w:sz="0" w:space="0" w:color="auto"/>
                    <w:left w:val="none" w:sz="0" w:space="0" w:color="auto"/>
                    <w:bottom w:val="none" w:sz="0" w:space="0" w:color="auto"/>
                    <w:right w:val="none" w:sz="0" w:space="0" w:color="auto"/>
                  </w:divBdr>
                  <w:divsChild>
                    <w:div w:id="647516030">
                      <w:marLeft w:val="0"/>
                      <w:marRight w:val="0"/>
                      <w:marTop w:val="0"/>
                      <w:marBottom w:val="0"/>
                      <w:divBdr>
                        <w:top w:val="none" w:sz="0" w:space="0" w:color="auto"/>
                        <w:left w:val="none" w:sz="0" w:space="0" w:color="auto"/>
                        <w:bottom w:val="none" w:sz="0" w:space="0" w:color="auto"/>
                        <w:right w:val="none" w:sz="0" w:space="0" w:color="auto"/>
                      </w:divBdr>
                      <w:divsChild>
                        <w:div w:id="3282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2578">
              <w:marLeft w:val="0"/>
              <w:marRight w:val="0"/>
              <w:marTop w:val="0"/>
              <w:marBottom w:val="0"/>
              <w:divBdr>
                <w:top w:val="none" w:sz="0" w:space="0" w:color="auto"/>
                <w:left w:val="none" w:sz="0" w:space="0" w:color="auto"/>
                <w:bottom w:val="none" w:sz="0" w:space="0" w:color="auto"/>
                <w:right w:val="none" w:sz="0" w:space="0" w:color="auto"/>
              </w:divBdr>
              <w:divsChild>
                <w:div w:id="1077509677">
                  <w:marLeft w:val="0"/>
                  <w:marRight w:val="0"/>
                  <w:marTop w:val="0"/>
                  <w:marBottom w:val="0"/>
                  <w:divBdr>
                    <w:top w:val="none" w:sz="0" w:space="0" w:color="auto"/>
                    <w:left w:val="none" w:sz="0" w:space="0" w:color="auto"/>
                    <w:bottom w:val="none" w:sz="0" w:space="0" w:color="auto"/>
                    <w:right w:val="none" w:sz="0" w:space="0" w:color="auto"/>
                  </w:divBdr>
                  <w:divsChild>
                    <w:div w:id="1465730665">
                      <w:marLeft w:val="0"/>
                      <w:marRight w:val="0"/>
                      <w:marTop w:val="0"/>
                      <w:marBottom w:val="0"/>
                      <w:divBdr>
                        <w:top w:val="none" w:sz="0" w:space="0" w:color="auto"/>
                        <w:left w:val="none" w:sz="0" w:space="0" w:color="auto"/>
                        <w:bottom w:val="none" w:sz="0" w:space="0" w:color="auto"/>
                        <w:right w:val="none" w:sz="0" w:space="0" w:color="auto"/>
                      </w:divBdr>
                      <w:divsChild>
                        <w:div w:id="6315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2266">
          <w:marLeft w:val="0"/>
          <w:marRight w:val="0"/>
          <w:marTop w:val="0"/>
          <w:marBottom w:val="0"/>
          <w:divBdr>
            <w:top w:val="none" w:sz="0" w:space="0" w:color="auto"/>
            <w:left w:val="none" w:sz="0" w:space="0" w:color="auto"/>
            <w:bottom w:val="none" w:sz="0" w:space="0" w:color="auto"/>
            <w:right w:val="none" w:sz="0" w:space="0" w:color="auto"/>
          </w:divBdr>
          <w:divsChild>
            <w:div w:id="622418566">
              <w:marLeft w:val="0"/>
              <w:marRight w:val="0"/>
              <w:marTop w:val="0"/>
              <w:marBottom w:val="0"/>
              <w:divBdr>
                <w:top w:val="none" w:sz="0" w:space="0" w:color="auto"/>
                <w:left w:val="none" w:sz="0" w:space="0" w:color="auto"/>
                <w:bottom w:val="none" w:sz="0" w:space="0" w:color="auto"/>
                <w:right w:val="none" w:sz="0" w:space="0" w:color="auto"/>
              </w:divBdr>
              <w:divsChild>
                <w:div w:id="1769811365">
                  <w:marLeft w:val="0"/>
                  <w:marRight w:val="0"/>
                  <w:marTop w:val="0"/>
                  <w:marBottom w:val="0"/>
                  <w:divBdr>
                    <w:top w:val="none" w:sz="0" w:space="0" w:color="auto"/>
                    <w:left w:val="none" w:sz="0" w:space="0" w:color="auto"/>
                    <w:bottom w:val="none" w:sz="0" w:space="0" w:color="auto"/>
                    <w:right w:val="none" w:sz="0" w:space="0" w:color="auto"/>
                  </w:divBdr>
                  <w:divsChild>
                    <w:div w:id="6080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1364">
          <w:marLeft w:val="0"/>
          <w:marRight w:val="0"/>
          <w:marTop w:val="0"/>
          <w:marBottom w:val="0"/>
          <w:divBdr>
            <w:top w:val="none" w:sz="0" w:space="0" w:color="auto"/>
            <w:left w:val="none" w:sz="0" w:space="0" w:color="auto"/>
            <w:bottom w:val="none" w:sz="0" w:space="0" w:color="auto"/>
            <w:right w:val="none" w:sz="0" w:space="0" w:color="auto"/>
          </w:divBdr>
        </w:div>
        <w:div w:id="2023434032">
          <w:marLeft w:val="0"/>
          <w:marRight w:val="0"/>
          <w:marTop w:val="0"/>
          <w:marBottom w:val="0"/>
          <w:divBdr>
            <w:top w:val="none" w:sz="0" w:space="0" w:color="auto"/>
            <w:left w:val="none" w:sz="0" w:space="0" w:color="auto"/>
            <w:bottom w:val="none" w:sz="0" w:space="0" w:color="auto"/>
            <w:right w:val="none" w:sz="0" w:space="0" w:color="auto"/>
          </w:divBdr>
          <w:divsChild>
            <w:div w:id="828640640">
              <w:marLeft w:val="0"/>
              <w:marRight w:val="0"/>
              <w:marTop w:val="0"/>
              <w:marBottom w:val="0"/>
              <w:divBdr>
                <w:top w:val="none" w:sz="0" w:space="0" w:color="auto"/>
                <w:left w:val="none" w:sz="0" w:space="0" w:color="auto"/>
                <w:bottom w:val="none" w:sz="0" w:space="0" w:color="auto"/>
                <w:right w:val="none" w:sz="0" w:space="0" w:color="auto"/>
              </w:divBdr>
              <w:divsChild>
                <w:div w:id="14661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3314</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Varsinais-Suomen Sairaanhoitopiiri</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Huhtala Päivi</dc:creator>
  <cp:keywords/>
  <dc:description/>
  <cp:lastModifiedBy>Huhtala Päivi</cp:lastModifiedBy>
  <cp:revision>1</cp:revision>
  <dcterms:created xsi:type="dcterms:W3CDTF">2025-06-30T05:37:00Z</dcterms:created>
  <dcterms:modified xsi:type="dcterms:W3CDTF">2025-06-30T05:39:00Z</dcterms:modified>
</cp:coreProperties>
</file>