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9A44B" w14:textId="77777777" w:rsidR="00E131FC" w:rsidRPr="0065699E" w:rsidRDefault="00812319">
      <w:pPr>
        <w:rPr>
          <w:rFonts w:ascii="Arial Nova" w:hAnsi="Arial Nova"/>
          <w:b/>
          <w:bCs/>
          <w:sz w:val="28"/>
          <w:szCs w:val="28"/>
        </w:rPr>
      </w:pPr>
      <w:r w:rsidRPr="0065699E">
        <w:rPr>
          <w:rFonts w:ascii="Arial Nova" w:hAnsi="Arial Nova"/>
          <w:b/>
          <w:bCs/>
          <w:sz w:val="28"/>
          <w:szCs w:val="28"/>
        </w:rPr>
        <w:t>Mitä on vanhuusoikeus?</w:t>
      </w:r>
      <w:r w:rsidR="00E131FC" w:rsidRPr="0065699E">
        <w:rPr>
          <w:rFonts w:ascii="Arial Nova" w:hAnsi="Arial Nova"/>
          <w:b/>
          <w:bCs/>
          <w:sz w:val="28"/>
          <w:szCs w:val="28"/>
        </w:rPr>
        <w:t xml:space="preserve"> </w:t>
      </w:r>
    </w:p>
    <w:p w14:paraId="01FDFA49" w14:textId="77777777" w:rsidR="00E131FC" w:rsidRPr="0065699E" w:rsidRDefault="00E131FC">
      <w:pPr>
        <w:rPr>
          <w:rFonts w:ascii="Arial Nova" w:hAnsi="Arial Nova"/>
          <w:sz w:val="28"/>
          <w:szCs w:val="28"/>
        </w:rPr>
      </w:pPr>
    </w:p>
    <w:p w14:paraId="0E1D3E3F" w14:textId="17CA74F8" w:rsidR="00E642AB" w:rsidRPr="0065699E" w:rsidRDefault="00E642AB">
      <w:pPr>
        <w:rPr>
          <w:rFonts w:ascii="Arial Nova" w:hAnsi="Arial Nova"/>
          <w:i/>
          <w:iCs/>
          <w:sz w:val="28"/>
          <w:szCs w:val="28"/>
        </w:rPr>
      </w:pPr>
      <w:r w:rsidRPr="0065699E">
        <w:rPr>
          <w:rFonts w:ascii="Arial Nova" w:hAnsi="Arial Nova"/>
          <w:i/>
          <w:iCs/>
          <w:sz w:val="28"/>
          <w:szCs w:val="28"/>
        </w:rPr>
        <w:t>Anja Karvonen-Kälkäjä, OTT, VT, vanhuusoikeuden asiantuntija</w:t>
      </w:r>
    </w:p>
    <w:p w14:paraId="4CF611C1" w14:textId="77777777" w:rsidR="00E131FC" w:rsidRPr="0065699E" w:rsidRDefault="00E131FC">
      <w:pPr>
        <w:rPr>
          <w:rFonts w:ascii="Arial Nova" w:hAnsi="Arial Nova"/>
          <w:sz w:val="28"/>
          <w:szCs w:val="28"/>
        </w:rPr>
      </w:pPr>
    </w:p>
    <w:p w14:paraId="737BEAE3" w14:textId="77777777" w:rsidR="00E131FC" w:rsidRPr="0065699E" w:rsidRDefault="008E09D8" w:rsidP="00E642AB">
      <w:pPr>
        <w:jc w:val="both"/>
        <w:rPr>
          <w:rFonts w:ascii="Arial Nova" w:hAnsi="Arial Nova"/>
          <w:sz w:val="28"/>
          <w:szCs w:val="28"/>
        </w:rPr>
      </w:pPr>
      <w:r w:rsidRPr="0065699E">
        <w:rPr>
          <w:rFonts w:ascii="Arial Nova" w:hAnsi="Arial Nova"/>
          <w:sz w:val="28"/>
          <w:szCs w:val="28"/>
        </w:rPr>
        <w:t xml:space="preserve">Vanhuusoikeudessa tarkastellaan ikääntyvien ihmisten kannalta tärkeitä </w:t>
      </w:r>
      <w:r w:rsidR="00851A5F" w:rsidRPr="0065699E">
        <w:rPr>
          <w:rFonts w:ascii="Arial Nova" w:hAnsi="Arial Nova"/>
          <w:sz w:val="28"/>
          <w:szCs w:val="28"/>
        </w:rPr>
        <w:t xml:space="preserve">oikeudellisia </w:t>
      </w:r>
      <w:r w:rsidRPr="0065699E">
        <w:rPr>
          <w:rFonts w:ascii="Arial Nova" w:hAnsi="Arial Nova"/>
          <w:sz w:val="28"/>
          <w:szCs w:val="28"/>
        </w:rPr>
        <w:t xml:space="preserve">kysymyksiä kokonaisuutena. Tällaisia ikäihmisten näkökulmasta merkityksellisiä asioita ovat </w:t>
      </w:r>
    </w:p>
    <w:p w14:paraId="523A495D" w14:textId="77777777" w:rsidR="00E131FC" w:rsidRPr="0065699E" w:rsidRDefault="008E09D8" w:rsidP="00E131FC">
      <w:pPr>
        <w:pStyle w:val="Luettelokappale"/>
        <w:numPr>
          <w:ilvl w:val="0"/>
          <w:numId w:val="1"/>
        </w:numPr>
        <w:jc w:val="both"/>
        <w:rPr>
          <w:rFonts w:ascii="Arial Nova" w:hAnsi="Arial Nova"/>
          <w:sz w:val="28"/>
          <w:szCs w:val="28"/>
        </w:rPr>
      </w:pPr>
      <w:r w:rsidRPr="0065699E">
        <w:rPr>
          <w:rFonts w:ascii="Arial Nova" w:hAnsi="Arial Nova"/>
          <w:sz w:val="28"/>
          <w:szCs w:val="28"/>
        </w:rPr>
        <w:t xml:space="preserve">sosiaali- ja terveydenhuollon </w:t>
      </w:r>
      <w:r w:rsidRPr="0065699E">
        <w:rPr>
          <w:rFonts w:ascii="Arial Nova" w:hAnsi="Arial Nova"/>
          <w:i/>
          <w:iCs/>
          <w:sz w:val="28"/>
          <w:szCs w:val="28"/>
        </w:rPr>
        <w:t>lainsäädäntö</w:t>
      </w:r>
      <w:r w:rsidRPr="0065699E">
        <w:rPr>
          <w:rFonts w:ascii="Arial Nova" w:hAnsi="Arial Nova"/>
          <w:sz w:val="28"/>
          <w:szCs w:val="28"/>
        </w:rPr>
        <w:t xml:space="preserve"> siltä osin</w:t>
      </w:r>
      <w:r w:rsidR="00E642AB" w:rsidRPr="0065699E">
        <w:rPr>
          <w:rFonts w:ascii="Arial Nova" w:hAnsi="Arial Nova"/>
          <w:sz w:val="28"/>
          <w:szCs w:val="28"/>
        </w:rPr>
        <w:t>,</w:t>
      </w:r>
      <w:r w:rsidRPr="0065699E">
        <w:rPr>
          <w:rFonts w:ascii="Arial Nova" w:hAnsi="Arial Nova"/>
          <w:sz w:val="28"/>
          <w:szCs w:val="28"/>
        </w:rPr>
        <w:t xml:space="preserve"> kun se koskee ikäihmisiä sekä </w:t>
      </w:r>
    </w:p>
    <w:p w14:paraId="7BC5C8A6" w14:textId="77777777" w:rsidR="00E131FC" w:rsidRPr="0065699E" w:rsidRDefault="00E131FC" w:rsidP="00E131FC">
      <w:pPr>
        <w:pStyle w:val="Luettelokappale"/>
        <w:jc w:val="both"/>
        <w:rPr>
          <w:rFonts w:ascii="Arial Nova" w:hAnsi="Arial Nova"/>
          <w:sz w:val="28"/>
          <w:szCs w:val="28"/>
        </w:rPr>
      </w:pPr>
    </w:p>
    <w:p w14:paraId="004029FC" w14:textId="77777777" w:rsidR="00E131FC" w:rsidRPr="0065699E" w:rsidRDefault="00E131FC" w:rsidP="00E131FC">
      <w:pPr>
        <w:pStyle w:val="Luettelokappale"/>
        <w:numPr>
          <w:ilvl w:val="0"/>
          <w:numId w:val="1"/>
        </w:numPr>
        <w:jc w:val="both"/>
        <w:rPr>
          <w:rFonts w:ascii="Arial Nova" w:hAnsi="Arial Nova"/>
          <w:sz w:val="28"/>
          <w:szCs w:val="28"/>
        </w:rPr>
      </w:pPr>
      <w:r w:rsidRPr="0065699E">
        <w:rPr>
          <w:rFonts w:ascii="Arial Nova" w:hAnsi="Arial Nova"/>
          <w:sz w:val="28"/>
          <w:szCs w:val="28"/>
        </w:rPr>
        <w:t>ikäihmisiä</w:t>
      </w:r>
      <w:r w:rsidR="008E09D8" w:rsidRPr="0065699E">
        <w:rPr>
          <w:rFonts w:ascii="Arial Nova" w:hAnsi="Arial Nova"/>
          <w:sz w:val="28"/>
          <w:szCs w:val="28"/>
        </w:rPr>
        <w:t xml:space="preserve"> koskevaa keskeistä </w:t>
      </w:r>
      <w:r w:rsidR="008E09D8" w:rsidRPr="0065699E">
        <w:rPr>
          <w:rFonts w:ascii="Arial Nova" w:hAnsi="Arial Nova"/>
          <w:i/>
          <w:iCs/>
          <w:sz w:val="28"/>
          <w:szCs w:val="28"/>
        </w:rPr>
        <w:t>oikeuskäytäntöä ja laillisuusvalvojien ratkaisuja.</w:t>
      </w:r>
      <w:r w:rsidR="008E09D8" w:rsidRPr="0065699E">
        <w:rPr>
          <w:rFonts w:ascii="Arial Nova" w:hAnsi="Arial Nova"/>
          <w:sz w:val="28"/>
          <w:szCs w:val="28"/>
        </w:rPr>
        <w:t xml:space="preserve"> </w:t>
      </w:r>
    </w:p>
    <w:p w14:paraId="389748D7" w14:textId="77777777" w:rsidR="00E131FC" w:rsidRPr="0065699E" w:rsidRDefault="00E131FC" w:rsidP="00E131FC">
      <w:pPr>
        <w:pStyle w:val="Luettelokappale"/>
        <w:rPr>
          <w:rFonts w:ascii="Arial Nova" w:hAnsi="Arial Nova"/>
          <w:sz w:val="28"/>
          <w:szCs w:val="28"/>
        </w:rPr>
      </w:pPr>
    </w:p>
    <w:p w14:paraId="12E9AFE9" w14:textId="6DAF7C4B" w:rsidR="008E09D8" w:rsidRPr="0065699E" w:rsidRDefault="008E09D8" w:rsidP="00E131FC">
      <w:pPr>
        <w:jc w:val="both"/>
        <w:rPr>
          <w:rFonts w:ascii="Arial Nova" w:hAnsi="Arial Nova"/>
          <w:sz w:val="28"/>
          <w:szCs w:val="28"/>
        </w:rPr>
      </w:pPr>
      <w:r w:rsidRPr="0065699E">
        <w:rPr>
          <w:rFonts w:ascii="Arial Nova" w:hAnsi="Arial Nova"/>
          <w:sz w:val="28"/>
          <w:szCs w:val="28"/>
        </w:rPr>
        <w:t xml:space="preserve">Yleiskuva vanhuusoikeuden keskeisistä käsitteitä ja periaatteista, kuten </w:t>
      </w:r>
      <w:r w:rsidRPr="0065699E">
        <w:rPr>
          <w:rFonts w:ascii="Arial Nova" w:hAnsi="Arial Nova"/>
          <w:i/>
          <w:iCs/>
          <w:sz w:val="28"/>
          <w:szCs w:val="28"/>
        </w:rPr>
        <w:t>itsemääräämisoikeus</w:t>
      </w:r>
      <w:r w:rsidRPr="0065699E">
        <w:rPr>
          <w:rFonts w:ascii="Arial Nova" w:hAnsi="Arial Nova"/>
          <w:sz w:val="28"/>
          <w:szCs w:val="28"/>
        </w:rPr>
        <w:t xml:space="preserve">, kuuluu olennaisesti vanhuusoikeuteen. Lisäksi ikääntymisen </w:t>
      </w:r>
      <w:r w:rsidRPr="0065699E">
        <w:rPr>
          <w:rFonts w:ascii="Arial Nova" w:hAnsi="Arial Nova"/>
          <w:i/>
          <w:iCs/>
          <w:sz w:val="28"/>
          <w:szCs w:val="28"/>
        </w:rPr>
        <w:t>ennakointi, vanhuspalvelujen piiriin pääseminen</w:t>
      </w:r>
      <w:r w:rsidR="00E642AB" w:rsidRPr="0065699E">
        <w:rPr>
          <w:rFonts w:ascii="Arial Nova" w:hAnsi="Arial Nova"/>
          <w:i/>
          <w:iCs/>
          <w:sz w:val="28"/>
          <w:szCs w:val="28"/>
        </w:rPr>
        <w:t>, vanhuksen asemaa ja oikeuksia koskevat kysymykset sekä ammattihenkilöiden vastuukysymykset</w:t>
      </w:r>
      <w:r w:rsidR="00E642AB" w:rsidRPr="0065699E">
        <w:rPr>
          <w:rFonts w:ascii="Arial Nova" w:hAnsi="Arial Nova"/>
          <w:sz w:val="28"/>
          <w:szCs w:val="28"/>
        </w:rPr>
        <w:t xml:space="preserve"> ovat olennainen osa vanhuusoikeutta.</w:t>
      </w:r>
    </w:p>
    <w:p w14:paraId="2A0E39E3" w14:textId="46A02641" w:rsidR="00BF0B12" w:rsidRPr="0065699E" w:rsidRDefault="0078360D" w:rsidP="00E642AB">
      <w:pPr>
        <w:jc w:val="both"/>
        <w:rPr>
          <w:rFonts w:ascii="Arial Nova" w:hAnsi="Arial Nova"/>
          <w:sz w:val="28"/>
          <w:szCs w:val="28"/>
        </w:rPr>
      </w:pPr>
      <w:r w:rsidRPr="0065699E">
        <w:rPr>
          <w:rFonts w:ascii="Arial Nova" w:hAnsi="Arial Nova"/>
          <w:sz w:val="28"/>
          <w:szCs w:val="28"/>
        </w:rPr>
        <w:t>Ikäihmisiä erityisesti koskevat oikeudelliset kysymykset ovat moniulotteisia ja monien oikeudenalojen sekä myös muiden tieteenalojen rajat ylittäviä. Vanhuusajan suunnittelua koskevat kysymykset sijoittuvat yksityisoikeuden alalle, mutta myös sosiaali- ja lääkintäoikeuden alalle. Monet vanhuuden kysymykset liittyvät lääketieteeseen, hoitotieteisiin sekä sosiaaligerontologiaan.</w:t>
      </w:r>
      <w:r w:rsidR="00E131FC" w:rsidRPr="0065699E">
        <w:rPr>
          <w:rFonts w:ascii="Arial Nova" w:hAnsi="Arial Nova"/>
          <w:sz w:val="28"/>
          <w:szCs w:val="28"/>
        </w:rPr>
        <w:t xml:space="preserve"> Hallintopäätöstentekeminen palveluista ja niihin liittyvät oikeusturvakeinot taas kuuluvat hallinto-oikeuden alaan ja julkisoikeuteen.</w:t>
      </w:r>
    </w:p>
    <w:p w14:paraId="7ECF94CD" w14:textId="1D0BA368" w:rsidR="002966D2" w:rsidRPr="0065699E" w:rsidRDefault="0078360D" w:rsidP="00E642AB">
      <w:pPr>
        <w:jc w:val="both"/>
        <w:rPr>
          <w:rFonts w:ascii="Arial Nova" w:hAnsi="Arial Nova"/>
          <w:sz w:val="28"/>
          <w:szCs w:val="28"/>
        </w:rPr>
      </w:pPr>
      <w:r w:rsidRPr="0065699E">
        <w:rPr>
          <w:rFonts w:ascii="Arial Nova" w:hAnsi="Arial Nova"/>
          <w:sz w:val="28"/>
          <w:szCs w:val="28"/>
        </w:rPr>
        <w:t xml:space="preserve">Kansainvälisesti vanhuusoikeutta tutkitaan ja opetetaan jo laajasti, esimerkiksi Yhdysvalloissa sitä opetetaan 112 yliopistossa. Myös Euroopassa kiinnostus vanhuusoikeuteen on lisääntynyt, samoin Suomessa. Meillä </w:t>
      </w:r>
      <w:r w:rsidR="00E131FC" w:rsidRPr="0065699E">
        <w:rPr>
          <w:rFonts w:ascii="Arial Nova" w:hAnsi="Arial Nova"/>
          <w:sz w:val="28"/>
          <w:szCs w:val="28"/>
        </w:rPr>
        <w:t>k</w:t>
      </w:r>
      <w:r w:rsidRPr="0065699E">
        <w:rPr>
          <w:rFonts w:ascii="Arial Nova" w:hAnsi="Arial Nova"/>
          <w:sz w:val="28"/>
          <w:szCs w:val="28"/>
        </w:rPr>
        <w:t>iinnostus vanhusten oikeuksiin alkoi lisääntyä 1990-</w:t>
      </w:r>
      <w:r w:rsidR="00851A5F" w:rsidRPr="0065699E">
        <w:rPr>
          <w:rFonts w:ascii="Arial Nova" w:hAnsi="Arial Nova"/>
          <w:sz w:val="28"/>
          <w:szCs w:val="28"/>
        </w:rPr>
        <w:t>l</w:t>
      </w:r>
      <w:r w:rsidRPr="0065699E">
        <w:rPr>
          <w:rFonts w:ascii="Arial Nova" w:hAnsi="Arial Nova"/>
          <w:sz w:val="28"/>
          <w:szCs w:val="28"/>
        </w:rPr>
        <w:t xml:space="preserve">uvulla. </w:t>
      </w:r>
      <w:r w:rsidR="00851A5F" w:rsidRPr="0065699E">
        <w:rPr>
          <w:rFonts w:ascii="Arial Nova" w:hAnsi="Arial Nova"/>
          <w:sz w:val="28"/>
          <w:szCs w:val="28"/>
        </w:rPr>
        <w:t>Vanhuusoikeuden tutkimus on vähitellen laajentunut ja alalta on tehty neljä väitöskirjaa: Anna Mäki-Petäjä-Leinonen</w:t>
      </w:r>
      <w:r w:rsidRPr="0065699E">
        <w:rPr>
          <w:rFonts w:ascii="Arial Nova" w:hAnsi="Arial Nova"/>
          <w:sz w:val="28"/>
          <w:szCs w:val="28"/>
        </w:rPr>
        <w:t xml:space="preserve"> </w:t>
      </w:r>
      <w:r w:rsidR="00851A5F" w:rsidRPr="0065699E">
        <w:rPr>
          <w:rFonts w:ascii="Arial Nova" w:hAnsi="Arial Nova"/>
          <w:sz w:val="28"/>
          <w:szCs w:val="28"/>
        </w:rPr>
        <w:t xml:space="preserve">(2003) väitteli dementoituvan henkilön oikeudellisesta asemasta, Laura Kalliomaa-Puha (2007) omaishoidon sopimuksista, Anja Karvonen-Kälkäjä (2012) vanhuksen vaikuttamismahdollisuuksista hallintosopimuksen asianosaissuhteissa sekä Katja Karjalainen (2016) ikääntymisestä, </w:t>
      </w:r>
      <w:r w:rsidR="00851A5F" w:rsidRPr="0065699E">
        <w:rPr>
          <w:rFonts w:ascii="Arial Nova" w:hAnsi="Arial Nova"/>
          <w:sz w:val="28"/>
          <w:szCs w:val="28"/>
        </w:rPr>
        <w:lastRenderedPageBreak/>
        <w:t>liikkuvuudesta ja kansainvälisestä yksityisoikeudesta Euroopassa. Tämän lisäksi Mäki-Petäjä-Leinosen vanhusten oikeuksia käsittelevä monografia ennakoivasta ikääntymisestä ilmestyi 2013 ja Liisa Niemisen toimittama kokoomateos vanhuksen oikeuksista vuonna 2014.</w:t>
      </w:r>
      <w:r w:rsidR="00E131FC" w:rsidRPr="0065699E">
        <w:rPr>
          <w:rFonts w:ascii="Arial Nova" w:hAnsi="Arial Nova"/>
          <w:sz w:val="28"/>
          <w:szCs w:val="28"/>
        </w:rPr>
        <w:t xml:space="preserve"> Kiinnostus vanhuusoikeuteen on viime vuosina lisääntynyt ja väitöskirjoja on tullut lisää, muun muassa Laura Perttolan</w:t>
      </w:r>
      <w:r w:rsidR="00B30CE2">
        <w:rPr>
          <w:rFonts w:ascii="Arial Nova" w:hAnsi="Arial Nova"/>
          <w:sz w:val="28"/>
          <w:szCs w:val="28"/>
        </w:rPr>
        <w:t xml:space="preserve"> väitöskirja Kynnyksen yli – Julkisoikeudellinen tutkimus vanhuspalvelujen saamisen edellytyksistä Vaasan yliopistosta vuonna 2019.</w:t>
      </w:r>
    </w:p>
    <w:p w14:paraId="6D11A969" w14:textId="75491336" w:rsidR="0065699E" w:rsidRPr="0065699E" w:rsidRDefault="002966D2" w:rsidP="0065699E">
      <w:pPr>
        <w:jc w:val="both"/>
        <w:rPr>
          <w:rFonts w:ascii="Arial Nova" w:hAnsi="Arial Nova"/>
          <w:sz w:val="28"/>
          <w:szCs w:val="28"/>
        </w:rPr>
      </w:pPr>
      <w:r w:rsidRPr="0065699E">
        <w:rPr>
          <w:rFonts w:ascii="Arial Nova" w:hAnsi="Arial Nova"/>
          <w:sz w:val="28"/>
          <w:szCs w:val="28"/>
        </w:rPr>
        <w:t>Ensimmäinen vanhuusoikeutta kokonaisuutena käsittelevä teos on Mäki-Petäjä-Leinosen ja Karvonen-</w:t>
      </w:r>
      <w:proofErr w:type="spellStart"/>
      <w:r w:rsidRPr="0065699E">
        <w:rPr>
          <w:rFonts w:ascii="Arial Nova" w:hAnsi="Arial Nova"/>
          <w:sz w:val="28"/>
          <w:szCs w:val="28"/>
        </w:rPr>
        <w:t>Kälkäjän</w:t>
      </w:r>
      <w:proofErr w:type="spellEnd"/>
      <w:r w:rsidRPr="0065699E">
        <w:rPr>
          <w:rFonts w:ascii="Arial Nova" w:hAnsi="Arial Nova"/>
          <w:sz w:val="28"/>
          <w:szCs w:val="28"/>
        </w:rPr>
        <w:t xml:space="preserve"> (2017) kirjoittama </w:t>
      </w:r>
      <w:r w:rsidRPr="0065699E">
        <w:rPr>
          <w:rFonts w:ascii="Arial Nova" w:hAnsi="Arial Nova"/>
          <w:i/>
          <w:iCs/>
          <w:sz w:val="28"/>
          <w:szCs w:val="28"/>
        </w:rPr>
        <w:t>Vanhuusoikeuden perusteet.</w:t>
      </w:r>
      <w:r w:rsidRPr="0065699E">
        <w:rPr>
          <w:rFonts w:ascii="Arial Nova" w:hAnsi="Arial Nova"/>
          <w:sz w:val="28"/>
          <w:szCs w:val="28"/>
        </w:rPr>
        <w:t xml:space="preserve"> Tässä teoksessa käsitellään </w:t>
      </w:r>
    </w:p>
    <w:p w14:paraId="096F1420" w14:textId="51E5A0A4" w:rsidR="0065699E" w:rsidRPr="0065699E" w:rsidRDefault="0065699E" w:rsidP="0065699E">
      <w:pPr>
        <w:pStyle w:val="Luettelokappale"/>
        <w:numPr>
          <w:ilvl w:val="0"/>
          <w:numId w:val="3"/>
        </w:numPr>
        <w:jc w:val="both"/>
        <w:rPr>
          <w:rFonts w:ascii="Arial Nova" w:hAnsi="Arial Nova"/>
          <w:sz w:val="28"/>
          <w:szCs w:val="28"/>
        </w:rPr>
      </w:pPr>
      <w:r w:rsidRPr="0065699E">
        <w:rPr>
          <w:rFonts w:ascii="Arial Nova" w:hAnsi="Arial Nova"/>
          <w:sz w:val="28"/>
          <w:szCs w:val="28"/>
        </w:rPr>
        <w:t xml:space="preserve">vanhuusoikeuden </w:t>
      </w:r>
      <w:r w:rsidR="002966D2" w:rsidRPr="0065699E">
        <w:rPr>
          <w:rFonts w:ascii="Arial Nova" w:hAnsi="Arial Nova"/>
          <w:sz w:val="28"/>
          <w:szCs w:val="28"/>
        </w:rPr>
        <w:t xml:space="preserve">yleisiä oppeja, </w:t>
      </w:r>
    </w:p>
    <w:p w14:paraId="44FF320F" w14:textId="77777777" w:rsidR="0065699E" w:rsidRPr="0065699E" w:rsidRDefault="002966D2" w:rsidP="0065699E">
      <w:pPr>
        <w:pStyle w:val="Luettelokappale"/>
        <w:numPr>
          <w:ilvl w:val="0"/>
          <w:numId w:val="3"/>
        </w:numPr>
        <w:jc w:val="both"/>
        <w:rPr>
          <w:rFonts w:ascii="Arial Nova" w:hAnsi="Arial Nova"/>
          <w:sz w:val="28"/>
          <w:szCs w:val="28"/>
        </w:rPr>
      </w:pPr>
      <w:r w:rsidRPr="0065699E">
        <w:rPr>
          <w:rFonts w:ascii="Arial Nova" w:hAnsi="Arial Nova"/>
          <w:sz w:val="28"/>
          <w:szCs w:val="28"/>
        </w:rPr>
        <w:t xml:space="preserve">vajaakykyisyyden ennakointia, </w:t>
      </w:r>
    </w:p>
    <w:p w14:paraId="2CB1AAAA" w14:textId="77777777" w:rsidR="0065699E" w:rsidRPr="0065699E" w:rsidRDefault="0065699E" w:rsidP="0065699E">
      <w:pPr>
        <w:pStyle w:val="Luettelokappale"/>
        <w:numPr>
          <w:ilvl w:val="0"/>
          <w:numId w:val="3"/>
        </w:numPr>
        <w:jc w:val="both"/>
        <w:rPr>
          <w:rFonts w:ascii="Arial Nova" w:hAnsi="Arial Nova"/>
          <w:sz w:val="28"/>
          <w:szCs w:val="28"/>
        </w:rPr>
      </w:pPr>
      <w:r w:rsidRPr="0065699E">
        <w:rPr>
          <w:rFonts w:ascii="Arial Nova" w:hAnsi="Arial Nova"/>
          <w:sz w:val="28"/>
          <w:szCs w:val="28"/>
        </w:rPr>
        <w:t>v</w:t>
      </w:r>
      <w:r w:rsidR="002966D2" w:rsidRPr="0065699E">
        <w:rPr>
          <w:rFonts w:ascii="Arial Nova" w:hAnsi="Arial Nova"/>
          <w:sz w:val="28"/>
          <w:szCs w:val="28"/>
        </w:rPr>
        <w:t xml:space="preserve">anhuksen sosiaali- ja terveyspalveluja, </w:t>
      </w:r>
    </w:p>
    <w:p w14:paraId="3F120F63" w14:textId="0E87A21E" w:rsidR="0065699E" w:rsidRPr="0065699E" w:rsidRDefault="0065699E" w:rsidP="0065699E">
      <w:pPr>
        <w:pStyle w:val="Luettelokappale"/>
        <w:numPr>
          <w:ilvl w:val="0"/>
          <w:numId w:val="3"/>
        </w:numPr>
        <w:jc w:val="both"/>
        <w:rPr>
          <w:rFonts w:ascii="Arial Nova" w:hAnsi="Arial Nova"/>
          <w:sz w:val="28"/>
          <w:szCs w:val="28"/>
        </w:rPr>
      </w:pPr>
      <w:r w:rsidRPr="0065699E">
        <w:rPr>
          <w:rFonts w:ascii="Arial Nova" w:hAnsi="Arial Nova"/>
          <w:sz w:val="28"/>
          <w:szCs w:val="28"/>
        </w:rPr>
        <w:t>s</w:t>
      </w:r>
      <w:r w:rsidR="002966D2" w:rsidRPr="0065699E">
        <w:rPr>
          <w:rFonts w:ascii="Arial Nova" w:hAnsi="Arial Nova"/>
          <w:sz w:val="28"/>
          <w:szCs w:val="28"/>
        </w:rPr>
        <w:t xml:space="preserve">osiaali- ja terveydenhuollon ammattihenkilöstöä </w:t>
      </w:r>
    </w:p>
    <w:p w14:paraId="18E887DE" w14:textId="77777777" w:rsidR="0065699E" w:rsidRPr="0065699E" w:rsidRDefault="002966D2" w:rsidP="0065699E">
      <w:pPr>
        <w:pStyle w:val="Luettelokappale"/>
        <w:numPr>
          <w:ilvl w:val="0"/>
          <w:numId w:val="3"/>
        </w:numPr>
        <w:jc w:val="both"/>
        <w:rPr>
          <w:rFonts w:ascii="Arial Nova" w:hAnsi="Arial Nova"/>
          <w:sz w:val="28"/>
          <w:szCs w:val="28"/>
        </w:rPr>
      </w:pPr>
      <w:r w:rsidRPr="0065699E">
        <w:rPr>
          <w:rFonts w:ascii="Arial Nova" w:hAnsi="Arial Nova"/>
          <w:sz w:val="28"/>
          <w:szCs w:val="28"/>
        </w:rPr>
        <w:t xml:space="preserve">vanhuksen oikeusturvaa sekä </w:t>
      </w:r>
    </w:p>
    <w:p w14:paraId="7C8C666B" w14:textId="32E511CC" w:rsidR="0078360D" w:rsidRPr="0065699E" w:rsidRDefault="002966D2" w:rsidP="0065699E">
      <w:pPr>
        <w:pStyle w:val="Luettelokappale"/>
        <w:numPr>
          <w:ilvl w:val="0"/>
          <w:numId w:val="3"/>
        </w:numPr>
        <w:jc w:val="both"/>
        <w:rPr>
          <w:rFonts w:ascii="Arial Nova" w:hAnsi="Arial Nova"/>
          <w:sz w:val="28"/>
          <w:szCs w:val="28"/>
        </w:rPr>
      </w:pPr>
      <w:r w:rsidRPr="0065699E">
        <w:rPr>
          <w:rFonts w:ascii="Arial Nova" w:hAnsi="Arial Nova"/>
          <w:sz w:val="28"/>
          <w:szCs w:val="28"/>
        </w:rPr>
        <w:t>vanhuksen suojaamisen keinoja.</w:t>
      </w:r>
    </w:p>
    <w:p w14:paraId="269B5BDD" w14:textId="77777777" w:rsidR="0065699E" w:rsidRPr="0065699E" w:rsidRDefault="002966D2" w:rsidP="00E642AB">
      <w:pPr>
        <w:jc w:val="both"/>
        <w:rPr>
          <w:rFonts w:ascii="Arial Nova" w:hAnsi="Arial Nova"/>
          <w:sz w:val="28"/>
          <w:szCs w:val="28"/>
        </w:rPr>
      </w:pPr>
      <w:r w:rsidRPr="0065699E">
        <w:rPr>
          <w:rFonts w:ascii="Arial Nova" w:hAnsi="Arial Nova"/>
          <w:sz w:val="28"/>
          <w:szCs w:val="28"/>
        </w:rPr>
        <w:t xml:space="preserve">Tietynlaiset oikeudelliset tilanteet ovat tyypillisiä juuri vanhuksille. Tällaisia ovat </w:t>
      </w:r>
    </w:p>
    <w:p w14:paraId="10D0C532" w14:textId="77777777" w:rsidR="0065699E" w:rsidRPr="0065699E" w:rsidRDefault="002966D2" w:rsidP="00E642AB">
      <w:pPr>
        <w:pStyle w:val="Luettelokappale"/>
        <w:numPr>
          <w:ilvl w:val="0"/>
          <w:numId w:val="4"/>
        </w:numPr>
        <w:jc w:val="both"/>
        <w:rPr>
          <w:rFonts w:ascii="Arial Nova" w:hAnsi="Arial Nova"/>
          <w:sz w:val="28"/>
          <w:szCs w:val="28"/>
        </w:rPr>
      </w:pPr>
      <w:r w:rsidRPr="0065699E">
        <w:rPr>
          <w:rFonts w:ascii="Arial Nova" w:hAnsi="Arial Nova"/>
          <w:sz w:val="28"/>
          <w:szCs w:val="28"/>
        </w:rPr>
        <w:t xml:space="preserve">sosiaali- ja terveydenhuollon palvelujen lisääntyvä tarve, </w:t>
      </w:r>
    </w:p>
    <w:p w14:paraId="3FAFCFAD" w14:textId="77777777" w:rsidR="0065699E" w:rsidRPr="0065699E" w:rsidRDefault="002966D2" w:rsidP="00E642AB">
      <w:pPr>
        <w:pStyle w:val="Luettelokappale"/>
        <w:numPr>
          <w:ilvl w:val="0"/>
          <w:numId w:val="4"/>
        </w:numPr>
        <w:jc w:val="both"/>
        <w:rPr>
          <w:rFonts w:ascii="Arial Nova" w:hAnsi="Arial Nova"/>
          <w:sz w:val="28"/>
          <w:szCs w:val="28"/>
        </w:rPr>
      </w:pPr>
      <w:r w:rsidRPr="0065699E">
        <w:rPr>
          <w:rFonts w:ascii="Arial Nova" w:hAnsi="Arial Nova"/>
          <w:sz w:val="28"/>
          <w:szCs w:val="28"/>
        </w:rPr>
        <w:t xml:space="preserve">palvelujen piiriin pääseminen, </w:t>
      </w:r>
    </w:p>
    <w:p w14:paraId="755E5F0D" w14:textId="77777777" w:rsidR="0065699E" w:rsidRPr="0065699E" w:rsidRDefault="002966D2" w:rsidP="00E642AB">
      <w:pPr>
        <w:pStyle w:val="Luettelokappale"/>
        <w:numPr>
          <w:ilvl w:val="0"/>
          <w:numId w:val="4"/>
        </w:numPr>
        <w:jc w:val="both"/>
        <w:rPr>
          <w:rFonts w:ascii="Arial Nova" w:hAnsi="Arial Nova"/>
          <w:sz w:val="28"/>
          <w:szCs w:val="28"/>
        </w:rPr>
      </w:pPr>
      <w:r w:rsidRPr="0065699E">
        <w:rPr>
          <w:rFonts w:ascii="Arial Nova" w:hAnsi="Arial Nova"/>
          <w:sz w:val="28"/>
          <w:szCs w:val="28"/>
        </w:rPr>
        <w:t xml:space="preserve">palveluista sopiminen, </w:t>
      </w:r>
    </w:p>
    <w:p w14:paraId="57B265B7" w14:textId="77777777" w:rsidR="0065699E" w:rsidRPr="0065699E" w:rsidRDefault="002966D2" w:rsidP="00E642AB">
      <w:pPr>
        <w:pStyle w:val="Luettelokappale"/>
        <w:numPr>
          <w:ilvl w:val="0"/>
          <w:numId w:val="4"/>
        </w:numPr>
        <w:jc w:val="both"/>
        <w:rPr>
          <w:rFonts w:ascii="Arial Nova" w:hAnsi="Arial Nova"/>
          <w:sz w:val="28"/>
          <w:szCs w:val="28"/>
        </w:rPr>
      </w:pPr>
      <w:r w:rsidRPr="0065699E">
        <w:rPr>
          <w:rFonts w:ascii="Arial Nova" w:hAnsi="Arial Nova"/>
          <w:sz w:val="28"/>
          <w:szCs w:val="28"/>
        </w:rPr>
        <w:t xml:space="preserve">lesken oikeudellisen aseman järjestäminen, </w:t>
      </w:r>
    </w:p>
    <w:p w14:paraId="5DA6F7A0" w14:textId="77777777" w:rsidR="0065699E" w:rsidRPr="0065699E" w:rsidRDefault="002966D2" w:rsidP="00E642AB">
      <w:pPr>
        <w:pStyle w:val="Luettelokappale"/>
        <w:numPr>
          <w:ilvl w:val="0"/>
          <w:numId w:val="4"/>
        </w:numPr>
        <w:jc w:val="both"/>
        <w:rPr>
          <w:rFonts w:ascii="Arial Nova" w:hAnsi="Arial Nova"/>
          <w:sz w:val="28"/>
          <w:szCs w:val="28"/>
        </w:rPr>
      </w:pPr>
      <w:r w:rsidRPr="0065699E">
        <w:rPr>
          <w:rFonts w:ascii="Arial Nova" w:hAnsi="Arial Nova"/>
          <w:sz w:val="28"/>
          <w:szCs w:val="28"/>
        </w:rPr>
        <w:t>testamentin ja edunvalvontavaltakirjan laatinen tai</w:t>
      </w:r>
    </w:p>
    <w:p w14:paraId="2EB30E37" w14:textId="77777777" w:rsidR="0065699E" w:rsidRPr="0065699E" w:rsidRDefault="002966D2" w:rsidP="00E642AB">
      <w:pPr>
        <w:pStyle w:val="Luettelokappale"/>
        <w:numPr>
          <w:ilvl w:val="0"/>
          <w:numId w:val="4"/>
        </w:numPr>
        <w:jc w:val="both"/>
        <w:rPr>
          <w:rFonts w:ascii="Arial Nova" w:hAnsi="Arial Nova"/>
          <w:sz w:val="28"/>
          <w:szCs w:val="28"/>
        </w:rPr>
      </w:pPr>
      <w:r w:rsidRPr="0065699E">
        <w:rPr>
          <w:rFonts w:ascii="Arial Nova" w:hAnsi="Arial Nova"/>
          <w:sz w:val="28"/>
          <w:szCs w:val="28"/>
        </w:rPr>
        <w:t xml:space="preserve">edunvalvonnan hakeminen. </w:t>
      </w:r>
    </w:p>
    <w:p w14:paraId="5E31E53B" w14:textId="77777777" w:rsidR="0065699E" w:rsidRPr="0065699E" w:rsidRDefault="0065699E" w:rsidP="00E642AB">
      <w:pPr>
        <w:pStyle w:val="Luettelokappale"/>
        <w:numPr>
          <w:ilvl w:val="0"/>
          <w:numId w:val="4"/>
        </w:numPr>
        <w:jc w:val="both"/>
        <w:rPr>
          <w:rFonts w:ascii="Arial Nova" w:hAnsi="Arial Nova"/>
          <w:sz w:val="28"/>
          <w:szCs w:val="28"/>
        </w:rPr>
      </w:pPr>
    </w:p>
    <w:p w14:paraId="31421115" w14:textId="263519F7" w:rsidR="002966D2" w:rsidRPr="0065699E" w:rsidRDefault="002966D2" w:rsidP="0065699E">
      <w:pPr>
        <w:jc w:val="both"/>
        <w:rPr>
          <w:rFonts w:ascii="Arial Nova" w:hAnsi="Arial Nova"/>
          <w:sz w:val="28"/>
          <w:szCs w:val="28"/>
        </w:rPr>
      </w:pPr>
      <w:r w:rsidRPr="0065699E">
        <w:rPr>
          <w:rFonts w:ascii="Arial Nova" w:hAnsi="Arial Nova"/>
          <w:sz w:val="28"/>
          <w:szCs w:val="28"/>
        </w:rPr>
        <w:t>Nämä kysymykset keskittyvät useille oikeuden alueille ja levittäytyvät koko oikeusjärjestelmään. Lisäksi vanhuksia koskevia normistoja voidaan tarkastella sekä kansallisesta että kansainvälisestä</w:t>
      </w:r>
      <w:r w:rsidR="00134E98" w:rsidRPr="0065699E">
        <w:rPr>
          <w:rFonts w:ascii="Arial Nova" w:hAnsi="Arial Nova"/>
          <w:sz w:val="28"/>
          <w:szCs w:val="28"/>
        </w:rPr>
        <w:t xml:space="preserve"> näkökulmasta.</w:t>
      </w:r>
    </w:p>
    <w:p w14:paraId="4E960FFF" w14:textId="77777777" w:rsidR="00134E98" w:rsidRPr="0065699E" w:rsidRDefault="00134E98" w:rsidP="00E642AB">
      <w:pPr>
        <w:jc w:val="both"/>
        <w:rPr>
          <w:rFonts w:ascii="Arial Nova" w:hAnsi="Arial Nova"/>
          <w:sz w:val="28"/>
          <w:szCs w:val="28"/>
        </w:rPr>
      </w:pPr>
      <w:r w:rsidRPr="0065699E">
        <w:rPr>
          <w:rFonts w:ascii="Arial Nova" w:hAnsi="Arial Nova"/>
          <w:sz w:val="28"/>
          <w:szCs w:val="28"/>
        </w:rPr>
        <w:t xml:space="preserve">Ikääntyvien ihmisten lukumäärän lisääntyessä ja sitä kautta haavoittuvuuden ja monenlaisen avun ja tuen tarpeen lisääntyminen vahvistaa vanhuusoikeuden asemaa oikeustieteessä. Vaikka suuri osa ikäihmisistä on toimintakykyisiä kuolemaansa saakka esimerkiksi itsemääräämisoikeuden merkitys ja sen laajuus tulevat olemaan jatkossakin keskiössä vanhuusoikeudessa. Ikääntyessä myös tarve sosiaali- ja terveyspalvelujen käytölle yleensä lisääntyy. </w:t>
      </w:r>
    </w:p>
    <w:p w14:paraId="6DF07A68" w14:textId="77777777" w:rsidR="002966D2" w:rsidRPr="0065699E" w:rsidRDefault="002966D2" w:rsidP="00E642AB">
      <w:pPr>
        <w:jc w:val="both"/>
        <w:rPr>
          <w:rFonts w:ascii="Arial Nova" w:hAnsi="Arial Nova"/>
          <w:sz w:val="28"/>
          <w:szCs w:val="28"/>
        </w:rPr>
      </w:pPr>
    </w:p>
    <w:p w14:paraId="3D94E0A4" w14:textId="77777777" w:rsidR="002966D2" w:rsidRPr="0065699E" w:rsidRDefault="002966D2" w:rsidP="00E642AB">
      <w:pPr>
        <w:jc w:val="both"/>
        <w:rPr>
          <w:rFonts w:ascii="Arial Nova" w:hAnsi="Arial Nova"/>
          <w:sz w:val="28"/>
          <w:szCs w:val="28"/>
        </w:rPr>
      </w:pPr>
    </w:p>
    <w:p w14:paraId="137ACCF8" w14:textId="77777777" w:rsidR="002966D2" w:rsidRPr="0065699E" w:rsidRDefault="002966D2" w:rsidP="00E642AB">
      <w:pPr>
        <w:jc w:val="both"/>
        <w:rPr>
          <w:rFonts w:ascii="Arial Nova" w:hAnsi="Arial Nova"/>
          <w:sz w:val="28"/>
          <w:szCs w:val="28"/>
        </w:rPr>
      </w:pPr>
    </w:p>
    <w:p w14:paraId="69161451" w14:textId="77777777" w:rsidR="002966D2" w:rsidRPr="00E131FC" w:rsidRDefault="002966D2" w:rsidP="00E642AB">
      <w:pPr>
        <w:jc w:val="both"/>
        <w:rPr>
          <w:rFonts w:ascii="Arial Nova" w:hAnsi="Arial Nova"/>
          <w:sz w:val="24"/>
          <w:szCs w:val="24"/>
        </w:rPr>
      </w:pPr>
    </w:p>
    <w:p w14:paraId="0F16598B" w14:textId="77777777" w:rsidR="002966D2" w:rsidRPr="00E131FC" w:rsidRDefault="002966D2" w:rsidP="00E642AB">
      <w:pPr>
        <w:jc w:val="both"/>
        <w:rPr>
          <w:rFonts w:ascii="Arial Nova" w:hAnsi="Arial Nova"/>
          <w:sz w:val="24"/>
          <w:szCs w:val="24"/>
        </w:rPr>
      </w:pPr>
    </w:p>
    <w:sectPr w:rsidR="002966D2" w:rsidRPr="00E131F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F567F"/>
    <w:multiLevelType w:val="hybridMultilevel"/>
    <w:tmpl w:val="2CF62EB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5C91D11"/>
    <w:multiLevelType w:val="hybridMultilevel"/>
    <w:tmpl w:val="AFCEF3E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8932009"/>
    <w:multiLevelType w:val="hybridMultilevel"/>
    <w:tmpl w:val="B36E2C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944673A"/>
    <w:multiLevelType w:val="hybridMultilevel"/>
    <w:tmpl w:val="B1048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19"/>
    <w:rsid w:val="0006227F"/>
    <w:rsid w:val="00134E98"/>
    <w:rsid w:val="001C3053"/>
    <w:rsid w:val="002966D2"/>
    <w:rsid w:val="004D4ED6"/>
    <w:rsid w:val="0065699E"/>
    <w:rsid w:val="0078360D"/>
    <w:rsid w:val="00812319"/>
    <w:rsid w:val="00851A5F"/>
    <w:rsid w:val="008E09D8"/>
    <w:rsid w:val="00904533"/>
    <w:rsid w:val="00910477"/>
    <w:rsid w:val="00B30CE2"/>
    <w:rsid w:val="00BF0B12"/>
    <w:rsid w:val="00E131FC"/>
    <w:rsid w:val="00E642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03D7"/>
  <w15:chartTrackingRefBased/>
  <w15:docId w15:val="{29E60A04-2CAB-49E3-8A38-647C3EA4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1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3416</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dc:creator>
  <cp:keywords/>
  <dc:description/>
  <cp:lastModifiedBy>Tuula Sillanpää</cp:lastModifiedBy>
  <cp:revision>2</cp:revision>
  <dcterms:created xsi:type="dcterms:W3CDTF">2021-01-26T08:24:00Z</dcterms:created>
  <dcterms:modified xsi:type="dcterms:W3CDTF">2021-01-26T08:24:00Z</dcterms:modified>
</cp:coreProperties>
</file>