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B8A4" w14:textId="5CDA6DC0" w:rsidR="00194E3A" w:rsidRDefault="00194E3A" w:rsidP="00194E3A">
      <w:pPr>
        <w:rPr>
          <w:rFonts w:ascii="Arial" w:hAnsi="Arial"/>
          <w:b/>
          <w:color w:val="CB5913"/>
          <w:sz w:val="20"/>
          <w:szCs w:val="20"/>
          <w:u w:val="single"/>
        </w:rPr>
      </w:pPr>
      <w:r w:rsidRPr="001A0E56">
        <w:rPr>
          <w:rFonts w:ascii="Arial" w:hAnsi="Arial"/>
          <w:b/>
          <w:color w:val="CB5913"/>
          <w:sz w:val="20"/>
          <w:szCs w:val="20"/>
          <w:u w:val="single"/>
        </w:rPr>
        <w:t xml:space="preserve">Öppna beslut av </w:t>
      </w:r>
      <w:proofErr w:type="gramStart"/>
      <w:r w:rsidRPr="001A0E56">
        <w:rPr>
          <w:rFonts w:ascii="Arial" w:hAnsi="Arial"/>
          <w:b/>
          <w:color w:val="CB5913"/>
          <w:sz w:val="20"/>
          <w:szCs w:val="20"/>
          <w:u w:val="single"/>
        </w:rPr>
        <w:t>Europeiska</w:t>
      </w:r>
      <w:proofErr w:type="gramEnd"/>
      <w:r w:rsidRPr="001A0E56">
        <w:rPr>
          <w:rFonts w:ascii="Arial" w:hAnsi="Arial"/>
          <w:b/>
          <w:color w:val="CB5913"/>
          <w:sz w:val="20"/>
          <w:szCs w:val="20"/>
          <w:u w:val="single"/>
        </w:rPr>
        <w:t xml:space="preserve"> kommittén för sociala rättigheter – sammanställning </w:t>
      </w:r>
    </w:p>
    <w:p w14:paraId="2E2B7678" w14:textId="77777777" w:rsidR="00194E3A" w:rsidRPr="00D531D9" w:rsidRDefault="00194E3A" w:rsidP="00194E3A">
      <w:pPr>
        <w:rPr>
          <w:rFonts w:ascii="Arial" w:hAnsi="Arial" w:cs="Arial"/>
          <w:b/>
          <w:bCs/>
          <w:sz w:val="18"/>
          <w:szCs w:val="18"/>
        </w:rPr>
      </w:pPr>
    </w:p>
    <w:p w14:paraId="546C95C3" w14:textId="77777777" w:rsidR="00194E3A" w:rsidRPr="00D531D9" w:rsidRDefault="00194E3A" w:rsidP="00194E3A">
      <w:pPr>
        <w:rPr>
          <w:rFonts w:ascii="Arial" w:hAnsi="Arial" w:cs="Arial"/>
          <w:b/>
          <w:bCs/>
          <w:sz w:val="18"/>
          <w:szCs w:val="18"/>
        </w:rPr>
      </w:pPr>
      <w:r w:rsidRPr="00D531D9">
        <w:rPr>
          <w:rFonts w:ascii="Arial" w:hAnsi="Arial"/>
          <w:b/>
          <w:sz w:val="18"/>
          <w:szCs w:val="18"/>
        </w:rPr>
        <w:t xml:space="preserve">Avgöranden av </w:t>
      </w:r>
      <w:proofErr w:type="gramStart"/>
      <w:r w:rsidRPr="00D531D9">
        <w:rPr>
          <w:rFonts w:ascii="Arial" w:hAnsi="Arial"/>
          <w:b/>
          <w:sz w:val="18"/>
          <w:szCs w:val="18"/>
        </w:rPr>
        <w:t>Europeiska</w:t>
      </w:r>
      <w:proofErr w:type="gramEnd"/>
      <w:r w:rsidRPr="00D531D9">
        <w:rPr>
          <w:rFonts w:ascii="Arial" w:hAnsi="Arial"/>
          <w:b/>
          <w:sz w:val="18"/>
          <w:szCs w:val="18"/>
        </w:rPr>
        <w:t xml:space="preserve"> kommittén för sociala rättigheter som gäller Finland och som väntar på verkställighet</w:t>
      </w:r>
    </w:p>
    <w:tbl>
      <w:tblPr>
        <w:tblStyle w:val="TaulukkoRuudukko"/>
        <w:tblW w:w="0" w:type="auto"/>
        <w:tblLook w:val="04A0" w:firstRow="1" w:lastRow="0" w:firstColumn="1" w:lastColumn="0" w:noHBand="0" w:noVBand="1"/>
      </w:tblPr>
      <w:tblGrid>
        <w:gridCol w:w="2728"/>
        <w:gridCol w:w="1945"/>
        <w:gridCol w:w="2410"/>
        <w:gridCol w:w="3402"/>
        <w:gridCol w:w="3509"/>
      </w:tblGrid>
      <w:tr w:rsidR="00194E3A" w:rsidRPr="00194E3A" w14:paraId="04CC80ED" w14:textId="77777777" w:rsidTr="00A47015">
        <w:tc>
          <w:tcPr>
            <w:tcW w:w="2728" w:type="dxa"/>
          </w:tcPr>
          <w:p w14:paraId="64BA2E35"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Fall</w:t>
            </w:r>
          </w:p>
        </w:tc>
        <w:tc>
          <w:tcPr>
            <w:tcW w:w="1945" w:type="dxa"/>
          </w:tcPr>
          <w:p w14:paraId="558B9553"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Avgörande givet</w:t>
            </w:r>
          </w:p>
        </w:tc>
        <w:tc>
          <w:tcPr>
            <w:tcW w:w="2410" w:type="dxa"/>
          </w:tcPr>
          <w:p w14:paraId="66EC6478"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Status</w:t>
            </w:r>
          </w:p>
        </w:tc>
        <w:tc>
          <w:tcPr>
            <w:tcW w:w="3402" w:type="dxa"/>
          </w:tcPr>
          <w:p w14:paraId="15D74F33"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Överträdelse och innehåll</w:t>
            </w:r>
          </w:p>
        </w:tc>
        <w:tc>
          <w:tcPr>
            <w:tcW w:w="3509" w:type="dxa"/>
          </w:tcPr>
          <w:p w14:paraId="000617D2" w14:textId="77777777" w:rsidR="00194E3A" w:rsidRPr="00194E3A" w:rsidRDefault="00194E3A" w:rsidP="00A47015">
            <w:pPr>
              <w:rPr>
                <w:rFonts w:ascii="Arial" w:hAnsi="Arial" w:cs="Arial"/>
                <w:b/>
                <w:bCs/>
                <w:sz w:val="18"/>
                <w:szCs w:val="18"/>
              </w:rPr>
            </w:pPr>
            <w:r w:rsidRPr="00194E3A">
              <w:rPr>
                <w:rFonts w:ascii="Arial" w:hAnsi="Arial" w:cs="Arial"/>
                <w:b/>
                <w:sz w:val="18"/>
                <w:szCs w:val="18"/>
              </w:rPr>
              <w:t>Åtgärder</w:t>
            </w:r>
          </w:p>
        </w:tc>
      </w:tr>
      <w:tr w:rsidR="00194E3A" w:rsidRPr="00194E3A" w14:paraId="77172E57" w14:textId="77777777" w:rsidTr="00A47015">
        <w:tc>
          <w:tcPr>
            <w:tcW w:w="2728" w:type="dxa"/>
          </w:tcPr>
          <w:p w14:paraId="347AA8F7"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 xml:space="preserve">Association of Care Giving Relatives and Friends mot Finland </w:t>
            </w:r>
            <w:r w:rsidRPr="00194E3A">
              <w:rPr>
                <w:rFonts w:ascii="Arial" w:hAnsi="Arial" w:cs="Arial"/>
                <w:sz w:val="18"/>
                <w:szCs w:val="18"/>
                <w:lang w:val="en-US"/>
              </w:rPr>
              <w:t>(</w:t>
            </w:r>
            <w:proofErr w:type="spellStart"/>
            <w:r w:rsidRPr="00194E3A">
              <w:rPr>
                <w:rFonts w:ascii="Arial" w:hAnsi="Arial" w:cs="Arial"/>
                <w:sz w:val="18"/>
                <w:szCs w:val="18"/>
              </w:rPr>
              <w:fldChar w:fldCharType="begin"/>
            </w:r>
            <w:r w:rsidRPr="00194E3A">
              <w:rPr>
                <w:rFonts w:ascii="Arial" w:hAnsi="Arial" w:cs="Arial"/>
                <w:sz w:val="18"/>
                <w:szCs w:val="18"/>
                <w:lang w:val="en-GB"/>
              </w:rPr>
              <w:instrText xml:space="preserve"> HYPERLINK "https://www.coe.int/en/web/european-social-charter/processed-complaints/-/asset_publisher/5GEFkJmH2bYG/content/no-70-2011-the-central-association-of-carers-in-finland-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w:instrText>
            </w:r>
            <w:r w:rsidRPr="00194E3A">
              <w:rPr>
                <w:rFonts w:ascii="Arial" w:hAnsi="Arial" w:cs="Arial"/>
                <w:sz w:val="18"/>
                <w:szCs w:val="18"/>
              </w:rPr>
              <w:fldChar w:fldCharType="separate"/>
            </w:r>
            <w:r w:rsidRPr="00194E3A">
              <w:rPr>
                <w:rStyle w:val="Hyperlinkki"/>
                <w:rFonts w:ascii="Arial" w:hAnsi="Arial" w:cs="Arial"/>
                <w:sz w:val="18"/>
                <w:szCs w:val="18"/>
                <w:lang w:val="en-US"/>
              </w:rPr>
              <w:t>klagomål</w:t>
            </w:r>
            <w:proofErr w:type="spellEnd"/>
            <w:r w:rsidRPr="00194E3A">
              <w:rPr>
                <w:rStyle w:val="Hyperlinkki"/>
                <w:rFonts w:ascii="Arial" w:hAnsi="Arial" w:cs="Arial"/>
                <w:sz w:val="18"/>
                <w:szCs w:val="18"/>
                <w:lang w:val="en-US"/>
              </w:rPr>
              <w:t xml:space="preserve"> nr 70/2011</w:t>
            </w:r>
            <w:r w:rsidRPr="00194E3A">
              <w:rPr>
                <w:rStyle w:val="Hyperlinkki"/>
                <w:rFonts w:ascii="Arial" w:hAnsi="Arial" w:cs="Arial"/>
                <w:sz w:val="18"/>
                <w:szCs w:val="18"/>
                <w:lang w:val="en-US"/>
              </w:rPr>
              <w:fldChar w:fldCharType="end"/>
            </w:r>
            <w:r w:rsidRPr="00194E3A">
              <w:rPr>
                <w:rFonts w:ascii="Arial" w:hAnsi="Arial" w:cs="Arial"/>
                <w:sz w:val="18"/>
                <w:szCs w:val="18"/>
                <w:lang w:val="en-US"/>
              </w:rPr>
              <w:t>)</w:t>
            </w:r>
          </w:p>
          <w:p w14:paraId="60B0DAF2" w14:textId="77777777" w:rsidR="00194E3A" w:rsidRPr="00194E3A" w:rsidRDefault="00194E3A" w:rsidP="00A47015">
            <w:pPr>
              <w:rPr>
                <w:rFonts w:ascii="Arial" w:hAnsi="Arial" w:cs="Arial"/>
                <w:sz w:val="18"/>
                <w:szCs w:val="18"/>
                <w:lang w:val="en-US"/>
              </w:rPr>
            </w:pPr>
          </w:p>
          <w:p w14:paraId="7BCC6E05"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fjärde granskning gällande framsteg från år 2021</w:t>
            </w:r>
          </w:p>
        </w:tc>
        <w:tc>
          <w:tcPr>
            <w:tcW w:w="1945" w:type="dxa"/>
          </w:tcPr>
          <w:p w14:paraId="6CA5BC89" w14:textId="77777777" w:rsidR="00194E3A" w:rsidRPr="00194E3A" w:rsidRDefault="00194E3A" w:rsidP="00A47015">
            <w:pPr>
              <w:rPr>
                <w:rFonts w:ascii="Arial" w:hAnsi="Arial" w:cs="Arial"/>
                <w:sz w:val="18"/>
                <w:szCs w:val="18"/>
              </w:rPr>
            </w:pPr>
            <w:r w:rsidRPr="00194E3A">
              <w:rPr>
                <w:rFonts w:ascii="Arial" w:hAnsi="Arial" w:cs="Arial"/>
                <w:sz w:val="18"/>
                <w:szCs w:val="18"/>
              </w:rPr>
              <w:t>04.12.2012</w:t>
            </w:r>
          </w:p>
        </w:tc>
        <w:tc>
          <w:tcPr>
            <w:tcW w:w="2410" w:type="dxa"/>
          </w:tcPr>
          <w:p w14:paraId="2D3EC463"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och det har skett framsteg i tillrättaläggandet, men överträdelsen har ännu inte rättats till.</w:t>
            </w:r>
          </w:p>
          <w:p w14:paraId="5C00E41A" w14:textId="77777777" w:rsidR="00194E3A" w:rsidRPr="00194E3A" w:rsidRDefault="00194E3A" w:rsidP="00A47015">
            <w:pPr>
              <w:rPr>
                <w:rFonts w:ascii="Arial" w:hAnsi="Arial" w:cs="Arial"/>
                <w:sz w:val="18"/>
                <w:szCs w:val="18"/>
              </w:rPr>
            </w:pPr>
          </w:p>
          <w:p w14:paraId="293BA6FE" w14:textId="77777777" w:rsidR="00194E3A" w:rsidRPr="00194E3A" w:rsidRDefault="00194E3A" w:rsidP="00A47015">
            <w:pPr>
              <w:rPr>
                <w:rFonts w:ascii="Arial" w:hAnsi="Arial" w:cs="Arial"/>
                <w:sz w:val="18"/>
                <w:szCs w:val="18"/>
              </w:rPr>
            </w:pPr>
          </w:p>
        </w:tc>
        <w:tc>
          <w:tcPr>
            <w:tcW w:w="3402" w:type="dxa"/>
          </w:tcPr>
          <w:p w14:paraId="7082272D"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23</w:t>
            </w:r>
            <w:r w:rsidRPr="00194E3A">
              <w:rPr>
                <w:rFonts w:ascii="Arial" w:hAnsi="Arial" w:cs="Arial"/>
                <w:sz w:val="18"/>
                <w:szCs w:val="18"/>
              </w:rPr>
              <w:t xml:space="preserve"> eftersom lagstiftningen möjliggjorde praxis där många äldre närståendevårdare i kommunerna blev utan de bidrag och stödåtgärder som de hade rätt till. Även om ändringar skett sedan dess i fråga om närståendevårdares lagstadgade ledigheter, bidrag och andra stödåtgärder, har situationen ännu inte helt rättats till. Kommunernas prövningsrätt och bristen på en tydlig skyldighet att betala ut bidrag möjliggör att det fortsättningsvis förekommer problemsituationer.</w:t>
            </w:r>
          </w:p>
        </w:tc>
        <w:tc>
          <w:tcPr>
            <w:tcW w:w="3509" w:type="dxa"/>
          </w:tcPr>
          <w:p w14:paraId="4C25DF6F"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har bett regeringen att lämna in information om de regionala kriterierna för beviljandet av stöd och mängden av vårdstöd som är tillgängligt, samt uppgifter om andelen familjeomsorgsstödstagare. Kommittén har vidare bett regeringen lämna in information om finansieringen och innehållet av de utvecklingsåtgärder för familjeomsorgen under åren 2021–2023, som enligt regeringens förslag borde ha fattats beslut om 2020.</w:t>
            </w:r>
          </w:p>
          <w:p w14:paraId="63F9895A" w14:textId="77777777" w:rsidR="00194E3A" w:rsidRPr="00194E3A" w:rsidRDefault="00194E3A" w:rsidP="00A47015">
            <w:pPr>
              <w:rPr>
                <w:rFonts w:ascii="Arial" w:hAnsi="Arial" w:cs="Arial"/>
                <w:sz w:val="18"/>
                <w:szCs w:val="18"/>
              </w:rPr>
            </w:pPr>
          </w:p>
        </w:tc>
      </w:tr>
      <w:tr w:rsidR="00194E3A" w:rsidRPr="00194E3A" w14:paraId="374A7194" w14:textId="77777777" w:rsidTr="00A47015">
        <w:tc>
          <w:tcPr>
            <w:tcW w:w="2728" w:type="dxa"/>
          </w:tcPr>
          <w:p w14:paraId="4F59A7FB"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Association of Care Giving Relatives and Friends mot Finland</w:t>
            </w:r>
            <w:r w:rsidRPr="00194E3A">
              <w:rPr>
                <w:rFonts w:ascii="Arial" w:hAnsi="Arial" w:cs="Arial"/>
                <w:sz w:val="18"/>
                <w:szCs w:val="18"/>
                <w:lang w:val="en-US"/>
              </w:rPr>
              <w:t xml:space="preserve"> (</w:t>
            </w:r>
            <w:proofErr w:type="spellStart"/>
            <w:r w:rsidRPr="00194E3A">
              <w:rPr>
                <w:rFonts w:ascii="Arial" w:hAnsi="Arial" w:cs="Arial"/>
                <w:sz w:val="18"/>
                <w:szCs w:val="18"/>
              </w:rPr>
              <w:fldChar w:fldCharType="begin"/>
            </w:r>
            <w:r w:rsidRPr="00194E3A">
              <w:rPr>
                <w:rFonts w:ascii="Arial" w:hAnsi="Arial" w:cs="Arial"/>
                <w:sz w:val="18"/>
                <w:szCs w:val="18"/>
                <w:lang w:val="en-GB"/>
              </w:rPr>
              <w:instrText xml:space="preserve"> HYPERLINK "https://www.coe.int/en/web/european-social-charter/processed-complaints/-/asset_publisher/5GEFkJmH2bYG/content/no-71-2011the-central-association-of-carers-in-finland-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w:instrText>
            </w:r>
            <w:r w:rsidRPr="00194E3A">
              <w:rPr>
                <w:rFonts w:ascii="Arial" w:hAnsi="Arial" w:cs="Arial"/>
                <w:sz w:val="18"/>
                <w:szCs w:val="18"/>
              </w:rPr>
              <w:fldChar w:fldCharType="separate"/>
            </w:r>
            <w:r w:rsidRPr="00194E3A">
              <w:rPr>
                <w:rStyle w:val="Hyperlinkki"/>
                <w:rFonts w:ascii="Arial" w:hAnsi="Arial" w:cs="Arial"/>
                <w:sz w:val="18"/>
                <w:szCs w:val="18"/>
                <w:lang w:val="en-US"/>
              </w:rPr>
              <w:t>klagomål</w:t>
            </w:r>
            <w:proofErr w:type="spellEnd"/>
            <w:r w:rsidRPr="00194E3A">
              <w:rPr>
                <w:rStyle w:val="Hyperlinkki"/>
                <w:rFonts w:ascii="Arial" w:hAnsi="Arial" w:cs="Arial"/>
                <w:sz w:val="18"/>
                <w:szCs w:val="18"/>
                <w:lang w:val="en-US"/>
              </w:rPr>
              <w:t xml:space="preserve"> nr 71/2011</w:t>
            </w:r>
            <w:r w:rsidRPr="00194E3A">
              <w:rPr>
                <w:rStyle w:val="Hyperlinkki"/>
                <w:rFonts w:ascii="Arial" w:hAnsi="Arial" w:cs="Arial"/>
                <w:sz w:val="18"/>
                <w:szCs w:val="18"/>
                <w:lang w:val="en-US"/>
              </w:rPr>
              <w:fldChar w:fldCharType="end"/>
            </w:r>
            <w:r w:rsidRPr="00194E3A">
              <w:rPr>
                <w:rFonts w:ascii="Arial" w:hAnsi="Arial" w:cs="Arial"/>
                <w:sz w:val="18"/>
                <w:szCs w:val="18"/>
                <w:lang w:val="en-US"/>
              </w:rPr>
              <w:t xml:space="preserve">) </w:t>
            </w:r>
          </w:p>
          <w:p w14:paraId="3D8E2312" w14:textId="77777777" w:rsidR="00194E3A" w:rsidRPr="00194E3A" w:rsidRDefault="00194E3A" w:rsidP="00A47015">
            <w:pPr>
              <w:rPr>
                <w:rFonts w:ascii="Arial" w:hAnsi="Arial" w:cs="Arial"/>
                <w:sz w:val="18"/>
                <w:szCs w:val="18"/>
                <w:lang w:val="en-US"/>
              </w:rPr>
            </w:pPr>
          </w:p>
          <w:p w14:paraId="10E4500B"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fjärde bedömning gällande framsteg från år 2021</w:t>
            </w:r>
          </w:p>
          <w:p w14:paraId="21DF7C0E" w14:textId="77777777" w:rsidR="00194E3A" w:rsidRPr="00194E3A" w:rsidRDefault="00194E3A" w:rsidP="00A47015">
            <w:pPr>
              <w:rPr>
                <w:rFonts w:ascii="Arial" w:hAnsi="Arial" w:cs="Arial"/>
                <w:sz w:val="18"/>
                <w:szCs w:val="18"/>
              </w:rPr>
            </w:pPr>
          </w:p>
        </w:tc>
        <w:tc>
          <w:tcPr>
            <w:tcW w:w="1945" w:type="dxa"/>
          </w:tcPr>
          <w:p w14:paraId="15A6F88F" w14:textId="77777777" w:rsidR="00194E3A" w:rsidRPr="00194E3A" w:rsidRDefault="00194E3A" w:rsidP="00A47015">
            <w:pPr>
              <w:rPr>
                <w:rFonts w:ascii="Arial" w:hAnsi="Arial" w:cs="Arial"/>
                <w:sz w:val="18"/>
                <w:szCs w:val="18"/>
              </w:rPr>
            </w:pPr>
            <w:r w:rsidRPr="00194E3A">
              <w:rPr>
                <w:rFonts w:ascii="Arial" w:hAnsi="Arial" w:cs="Arial"/>
                <w:sz w:val="18"/>
                <w:szCs w:val="18"/>
              </w:rPr>
              <w:t>04.12.2012</w:t>
            </w:r>
          </w:p>
        </w:tc>
        <w:tc>
          <w:tcPr>
            <w:tcW w:w="2410" w:type="dxa"/>
          </w:tcPr>
          <w:p w14:paraId="419A46C3"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för sociala rättigheter har konstaterat en överträdelse och det har skett framsteg i tillrättaläggandet, men överträdelsen har ännu inte rättats till. </w:t>
            </w:r>
          </w:p>
          <w:p w14:paraId="56998540" w14:textId="77777777" w:rsidR="00194E3A" w:rsidRPr="00194E3A" w:rsidRDefault="00194E3A" w:rsidP="00A47015">
            <w:pPr>
              <w:rPr>
                <w:rFonts w:ascii="Arial" w:hAnsi="Arial" w:cs="Arial"/>
                <w:sz w:val="18"/>
                <w:szCs w:val="18"/>
              </w:rPr>
            </w:pPr>
          </w:p>
        </w:tc>
        <w:tc>
          <w:tcPr>
            <w:tcW w:w="3402" w:type="dxa"/>
          </w:tcPr>
          <w:p w14:paraId="5A99BCFE"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23</w:t>
            </w:r>
            <w:r w:rsidRPr="00194E3A">
              <w:rPr>
                <w:rFonts w:ascii="Arial" w:hAnsi="Arial" w:cs="Arial"/>
                <w:sz w:val="18"/>
                <w:szCs w:val="18"/>
              </w:rPr>
              <w:t>, eftersom klientavgifterna för serviceboende och serviceboende dygnet runt inte reglerats tillräckligt och utbudet på serviceboende inte motsvarade efterfrågan. Komplicerad och varierande betalningspraxis gav upphov till osäkerhet bland dem som behövde tjänsterna, och inget garanterade tillgången till de nödvändiga tjänsterna eller ens tillräcklig information om tjänsterna och möjligheterna att använda dem.</w:t>
            </w:r>
          </w:p>
        </w:tc>
        <w:tc>
          <w:tcPr>
            <w:tcW w:w="3509" w:type="dxa"/>
          </w:tcPr>
          <w:p w14:paraId="56F446D2" w14:textId="77777777" w:rsidR="00194E3A" w:rsidRPr="00194E3A" w:rsidRDefault="00194E3A" w:rsidP="00A47015">
            <w:pPr>
              <w:rPr>
                <w:rFonts w:ascii="Arial" w:hAnsi="Arial" w:cs="Arial"/>
                <w:sz w:val="18"/>
                <w:szCs w:val="18"/>
              </w:rPr>
            </w:pPr>
            <w:r w:rsidRPr="00194E3A">
              <w:rPr>
                <w:rFonts w:ascii="Arial" w:hAnsi="Arial" w:cs="Arial"/>
                <w:sz w:val="18"/>
                <w:szCs w:val="18"/>
              </w:rPr>
              <w:t>Situationen har fortfarande inte helt rättats till. Även om klientavgiftssystemet håller på att reformeras, finns det fortfarande inga garantier för att klienten, efter att ha betalat avgifterna för serviceboendet, har pengar kvar till exempel för andra ändamål.</w:t>
            </w:r>
          </w:p>
          <w:p w14:paraId="744DCB5D" w14:textId="77777777" w:rsidR="00194E3A" w:rsidRPr="00194E3A" w:rsidRDefault="00194E3A" w:rsidP="00A47015">
            <w:pPr>
              <w:rPr>
                <w:rFonts w:ascii="Arial" w:hAnsi="Arial" w:cs="Arial"/>
                <w:sz w:val="18"/>
                <w:szCs w:val="18"/>
              </w:rPr>
            </w:pPr>
          </w:p>
          <w:p w14:paraId="677FB042" w14:textId="77777777" w:rsidR="00194E3A" w:rsidRPr="00194E3A" w:rsidRDefault="00194E3A" w:rsidP="00A47015">
            <w:pPr>
              <w:rPr>
                <w:rFonts w:ascii="Arial" w:hAnsi="Arial" w:cs="Arial"/>
                <w:sz w:val="18"/>
                <w:szCs w:val="18"/>
                <w:lang w:val="sv-SE" w:eastAsia="fi-FI"/>
              </w:rPr>
            </w:pPr>
            <w:r w:rsidRPr="00194E3A">
              <w:rPr>
                <w:rFonts w:ascii="Arial" w:hAnsi="Arial" w:cs="Arial"/>
                <w:sz w:val="18"/>
                <w:szCs w:val="18"/>
                <w:lang w:val="sv-SE" w:eastAsia="fi-FI"/>
              </w:rPr>
              <w:t>Kommittén har anfört att enligt medborgarorganisationerna är betalningssystemet för servicebostäder komplext och dyrt både ur förvaltningens och kundernas synvinkel. Enligt deras uppfattning skulle ett tydligt betalningssystem förbättra kundernas möjligheter att få den typ av tjänster som deras hälsa och tillstånd kräver. Kommittén har bett regeringen att kommentera medborgarorganisationernas åsikt.</w:t>
            </w:r>
          </w:p>
          <w:p w14:paraId="2899CF63" w14:textId="77777777" w:rsidR="00194E3A" w:rsidRPr="00194E3A" w:rsidRDefault="00194E3A" w:rsidP="00A47015">
            <w:pPr>
              <w:rPr>
                <w:rFonts w:ascii="Arial" w:hAnsi="Arial" w:cs="Arial"/>
                <w:sz w:val="18"/>
                <w:szCs w:val="18"/>
              </w:rPr>
            </w:pPr>
          </w:p>
          <w:p w14:paraId="2FB5C2A9" w14:textId="77777777" w:rsidR="00194E3A" w:rsidRPr="00194E3A" w:rsidRDefault="00194E3A" w:rsidP="00A47015">
            <w:pPr>
              <w:rPr>
                <w:rFonts w:ascii="Arial" w:hAnsi="Arial" w:cs="Arial"/>
                <w:sz w:val="18"/>
                <w:szCs w:val="18"/>
              </w:rPr>
            </w:pPr>
          </w:p>
          <w:p w14:paraId="6AF9A1FC" w14:textId="77777777" w:rsidR="00194E3A" w:rsidRPr="00194E3A" w:rsidRDefault="00194E3A" w:rsidP="00A47015">
            <w:pPr>
              <w:rPr>
                <w:rFonts w:ascii="Arial" w:hAnsi="Arial" w:cs="Arial"/>
                <w:sz w:val="18"/>
                <w:szCs w:val="18"/>
              </w:rPr>
            </w:pPr>
            <w:r w:rsidRPr="00194E3A">
              <w:rPr>
                <w:rFonts w:ascii="Arial" w:hAnsi="Arial" w:cs="Arial"/>
                <w:sz w:val="18"/>
                <w:szCs w:val="18"/>
              </w:rPr>
              <w:t>Regeringen bör lämna in uppdaterad information om reformerna i samband med nästa periodiska rapport.</w:t>
            </w:r>
          </w:p>
          <w:p w14:paraId="05C84387" w14:textId="77777777" w:rsidR="00194E3A" w:rsidRPr="00194E3A" w:rsidRDefault="00194E3A" w:rsidP="00A47015">
            <w:pPr>
              <w:rPr>
                <w:rFonts w:ascii="Arial" w:hAnsi="Arial" w:cs="Arial"/>
                <w:sz w:val="18"/>
                <w:szCs w:val="18"/>
              </w:rPr>
            </w:pPr>
          </w:p>
          <w:p w14:paraId="6ED332A2" w14:textId="77777777" w:rsidR="00194E3A" w:rsidRPr="00194E3A" w:rsidRDefault="00194E3A" w:rsidP="00A47015">
            <w:pPr>
              <w:rPr>
                <w:rFonts w:ascii="Arial" w:hAnsi="Arial" w:cs="Arial"/>
                <w:sz w:val="18"/>
                <w:szCs w:val="18"/>
              </w:rPr>
            </w:pPr>
          </w:p>
        </w:tc>
      </w:tr>
      <w:tr w:rsidR="00194E3A" w:rsidRPr="00194E3A" w14:paraId="0177C8E9" w14:textId="77777777" w:rsidTr="00A47015">
        <w:tc>
          <w:tcPr>
            <w:tcW w:w="2728" w:type="dxa"/>
          </w:tcPr>
          <w:p w14:paraId="3DF41701"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lastRenderedPageBreak/>
              <w:t>Finnish Society of Social Rights mot Finland</w:t>
            </w:r>
            <w:r w:rsidRPr="00194E3A">
              <w:rPr>
                <w:rFonts w:ascii="Arial" w:hAnsi="Arial" w:cs="Arial"/>
                <w:sz w:val="18"/>
                <w:szCs w:val="18"/>
                <w:lang w:val="en-US"/>
              </w:rPr>
              <w:t xml:space="preserve"> (</w:t>
            </w:r>
            <w:proofErr w:type="spellStart"/>
            <w:r w:rsidRPr="00194E3A">
              <w:rPr>
                <w:rFonts w:ascii="Arial" w:hAnsi="Arial" w:cs="Arial"/>
                <w:sz w:val="18"/>
                <w:szCs w:val="18"/>
              </w:rPr>
              <w:fldChar w:fldCharType="begin"/>
            </w:r>
            <w:r w:rsidRPr="00194E3A">
              <w:rPr>
                <w:rFonts w:ascii="Arial" w:hAnsi="Arial" w:cs="Arial"/>
                <w:sz w:val="18"/>
                <w:szCs w:val="18"/>
                <w:lang w:val="en-GB"/>
              </w:rPr>
              <w:instrText xml:space="preserve"> HYPERLINK "https://www.coe.int/en/web/european-social-charter/processed-complaints/-/asset_publisher/5GEFkJmH2bYG/content/no-88-2012-finnish-society-of-social-rights-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w:instrText>
            </w:r>
            <w:r w:rsidRPr="00194E3A">
              <w:rPr>
                <w:rFonts w:ascii="Arial" w:hAnsi="Arial" w:cs="Arial"/>
                <w:sz w:val="18"/>
                <w:szCs w:val="18"/>
              </w:rPr>
              <w:fldChar w:fldCharType="separate"/>
            </w:r>
            <w:r w:rsidRPr="00194E3A">
              <w:rPr>
                <w:rStyle w:val="Hyperlinkki"/>
                <w:rFonts w:ascii="Arial" w:hAnsi="Arial" w:cs="Arial"/>
                <w:sz w:val="18"/>
                <w:szCs w:val="18"/>
                <w:lang w:val="en-US"/>
              </w:rPr>
              <w:t>klagomål</w:t>
            </w:r>
            <w:proofErr w:type="spellEnd"/>
            <w:r w:rsidRPr="00194E3A">
              <w:rPr>
                <w:rStyle w:val="Hyperlinkki"/>
                <w:rFonts w:ascii="Arial" w:hAnsi="Arial" w:cs="Arial"/>
                <w:sz w:val="18"/>
                <w:szCs w:val="18"/>
                <w:lang w:val="en-US"/>
              </w:rPr>
              <w:t xml:space="preserve"> nr 88/2012</w:t>
            </w:r>
            <w:r w:rsidRPr="00194E3A">
              <w:rPr>
                <w:rStyle w:val="Hyperlinkki"/>
                <w:rFonts w:ascii="Arial" w:hAnsi="Arial" w:cs="Arial"/>
                <w:sz w:val="18"/>
                <w:szCs w:val="18"/>
                <w:lang w:val="en-US"/>
              </w:rPr>
              <w:fldChar w:fldCharType="end"/>
            </w:r>
            <w:r w:rsidRPr="00194E3A">
              <w:rPr>
                <w:rFonts w:ascii="Arial" w:hAnsi="Arial" w:cs="Arial"/>
                <w:sz w:val="18"/>
                <w:szCs w:val="18"/>
                <w:lang w:val="en-US"/>
              </w:rPr>
              <w:t>)</w:t>
            </w:r>
          </w:p>
          <w:p w14:paraId="58234BD7" w14:textId="77777777" w:rsidR="00194E3A" w:rsidRPr="00194E3A" w:rsidRDefault="00194E3A" w:rsidP="00A47015">
            <w:pPr>
              <w:rPr>
                <w:rFonts w:ascii="Arial" w:hAnsi="Arial" w:cs="Arial"/>
                <w:sz w:val="18"/>
                <w:szCs w:val="18"/>
                <w:lang w:val="en-US"/>
              </w:rPr>
            </w:pPr>
          </w:p>
          <w:p w14:paraId="5D216613"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tredje granskning gällande framsteg från år 2021</w:t>
            </w:r>
          </w:p>
        </w:tc>
        <w:tc>
          <w:tcPr>
            <w:tcW w:w="1945" w:type="dxa"/>
          </w:tcPr>
          <w:p w14:paraId="6555C11D" w14:textId="77777777" w:rsidR="00194E3A" w:rsidRPr="00194E3A" w:rsidRDefault="00194E3A" w:rsidP="00A47015">
            <w:pPr>
              <w:rPr>
                <w:rFonts w:ascii="Arial" w:hAnsi="Arial" w:cs="Arial"/>
                <w:sz w:val="18"/>
                <w:szCs w:val="18"/>
              </w:rPr>
            </w:pPr>
            <w:r w:rsidRPr="00194E3A">
              <w:rPr>
                <w:rFonts w:ascii="Arial" w:hAnsi="Arial" w:cs="Arial"/>
                <w:sz w:val="18"/>
                <w:szCs w:val="18"/>
              </w:rPr>
              <w:t>09.9.2014</w:t>
            </w:r>
          </w:p>
        </w:tc>
        <w:tc>
          <w:tcPr>
            <w:tcW w:w="2410" w:type="dxa"/>
          </w:tcPr>
          <w:p w14:paraId="25DE6A0D"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60973981"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12</w:t>
            </w:r>
            <w:r w:rsidRPr="00194E3A">
              <w:rPr>
                <w:rFonts w:ascii="Arial" w:hAnsi="Arial" w:cs="Arial"/>
                <w:sz w:val="18"/>
                <w:szCs w:val="18"/>
              </w:rPr>
              <w:t xml:space="preserve">, eftersom miniminivån på socialskyddsförmånerna var för låg. </w:t>
            </w:r>
          </w:p>
          <w:p w14:paraId="24860054"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även en överträdelse av </w:t>
            </w:r>
            <w:r w:rsidRPr="00194E3A">
              <w:rPr>
                <w:rFonts w:ascii="Arial" w:hAnsi="Arial" w:cs="Arial"/>
                <w:b/>
                <w:sz w:val="18"/>
                <w:szCs w:val="18"/>
              </w:rPr>
              <w:t>artikel 13</w:t>
            </w:r>
            <w:r w:rsidRPr="00194E3A">
              <w:rPr>
                <w:rFonts w:ascii="Arial" w:hAnsi="Arial" w:cs="Arial"/>
                <w:sz w:val="18"/>
                <w:szCs w:val="18"/>
              </w:rPr>
              <w:t xml:space="preserve"> eftersom utkomststödet och arbetsmarknadsstödet var otillräckliga.</w:t>
            </w:r>
          </w:p>
        </w:tc>
        <w:tc>
          <w:tcPr>
            <w:tcW w:w="3509" w:type="dxa"/>
          </w:tcPr>
          <w:p w14:paraId="43C750A9"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Olika reformer (bland annat aktiveringsmodellen inom utkomstskyddet för arbetslösa) och försök (bland annat med basinkomst) samt frysning av indexhöjningarna av olika förmåner har genomförts efter 2014. Efter att utbetalningen av utkomststödet överförts från kommunerna till FPA har många helt blivit utan stöd på grund av förseningar i utbetalningen, varmed de inte kunnat betala sina läkemedel eller sitt boende. Regeringen bör lämna in uppdaterad information om reformerna i samband med de periodiska rapporterna. </w:t>
            </w:r>
          </w:p>
          <w:p w14:paraId="506E3B6F" w14:textId="77777777" w:rsidR="00194E3A" w:rsidRPr="00194E3A" w:rsidRDefault="00194E3A" w:rsidP="00A47015">
            <w:pPr>
              <w:rPr>
                <w:rFonts w:ascii="Arial" w:hAnsi="Arial" w:cs="Arial"/>
                <w:sz w:val="18"/>
                <w:szCs w:val="18"/>
              </w:rPr>
            </w:pPr>
          </w:p>
          <w:p w14:paraId="2FEAFB93" w14:textId="77777777" w:rsidR="00194E3A" w:rsidRPr="00194E3A" w:rsidRDefault="00194E3A" w:rsidP="00A47015">
            <w:pPr>
              <w:rPr>
                <w:rFonts w:ascii="Arial" w:hAnsi="Arial" w:cs="Arial"/>
                <w:sz w:val="18"/>
                <w:szCs w:val="18"/>
                <w:lang w:val="sv-SE"/>
              </w:rPr>
            </w:pPr>
            <w:r w:rsidRPr="00194E3A">
              <w:rPr>
                <w:rFonts w:ascii="Arial" w:hAnsi="Arial" w:cs="Arial"/>
                <w:sz w:val="18"/>
                <w:szCs w:val="18"/>
                <w:lang w:val="sv-SE"/>
              </w:rPr>
              <w:t>Kommittén upprepade att myndigheterna borde ge information om åtgärdar som vidtagits till följd av beslutet, samt ge exempel på statistik som visar att de huvudsakliga förmånerna i fråga i kombination med andra tilläggsförmåner når en tillräcklig nivå för att uppfylla kraven i artikel 12.1 och artikel 13.1 i stadgan.</w:t>
            </w:r>
          </w:p>
          <w:p w14:paraId="64C1FF9B" w14:textId="77777777" w:rsidR="00194E3A" w:rsidRPr="00194E3A" w:rsidRDefault="00194E3A" w:rsidP="00A47015">
            <w:pPr>
              <w:rPr>
                <w:rFonts w:ascii="Arial" w:hAnsi="Arial" w:cs="Arial"/>
                <w:sz w:val="18"/>
                <w:szCs w:val="18"/>
                <w:lang w:val="sv-SE"/>
              </w:rPr>
            </w:pPr>
          </w:p>
        </w:tc>
      </w:tr>
      <w:tr w:rsidR="00194E3A" w:rsidRPr="00194E3A" w14:paraId="626451ED" w14:textId="77777777" w:rsidTr="00A47015">
        <w:tc>
          <w:tcPr>
            <w:tcW w:w="2728" w:type="dxa"/>
          </w:tcPr>
          <w:p w14:paraId="6B633FD3"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Finnish Society of Social Rights mot Finland</w:t>
            </w:r>
            <w:r w:rsidRPr="00194E3A">
              <w:rPr>
                <w:rFonts w:ascii="Arial" w:hAnsi="Arial" w:cs="Arial"/>
                <w:sz w:val="18"/>
                <w:szCs w:val="18"/>
                <w:lang w:val="en-US"/>
              </w:rPr>
              <w:t xml:space="preserve"> (</w:t>
            </w:r>
            <w:proofErr w:type="spellStart"/>
            <w:r w:rsidRPr="00194E3A">
              <w:rPr>
                <w:rFonts w:ascii="Arial" w:hAnsi="Arial" w:cs="Arial"/>
                <w:sz w:val="18"/>
                <w:szCs w:val="18"/>
              </w:rPr>
              <w:fldChar w:fldCharType="begin"/>
            </w:r>
            <w:r w:rsidRPr="00194E3A">
              <w:rPr>
                <w:rFonts w:ascii="Arial" w:hAnsi="Arial" w:cs="Arial"/>
                <w:sz w:val="18"/>
                <w:szCs w:val="18"/>
                <w:lang w:val="en-GB"/>
              </w:rPr>
              <w:instrText xml:space="preserve"> HYPERLINK "https://www.coe.int/en/web/european-social-charter/processed-complaints/-/asset_publisher/5GEFkJmH2bYG/content/no-106-2014-finnish-society-of-social-rights-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w:instrText>
            </w:r>
            <w:r w:rsidRPr="00194E3A">
              <w:rPr>
                <w:rFonts w:ascii="Arial" w:hAnsi="Arial" w:cs="Arial"/>
                <w:sz w:val="18"/>
                <w:szCs w:val="18"/>
              </w:rPr>
              <w:fldChar w:fldCharType="separate"/>
            </w:r>
            <w:r w:rsidRPr="00194E3A">
              <w:rPr>
                <w:rStyle w:val="Hyperlinkki"/>
                <w:rFonts w:ascii="Arial" w:hAnsi="Arial" w:cs="Arial"/>
                <w:sz w:val="18"/>
                <w:szCs w:val="18"/>
                <w:lang w:val="en-US"/>
              </w:rPr>
              <w:t>klagomål</w:t>
            </w:r>
            <w:proofErr w:type="spellEnd"/>
            <w:r w:rsidRPr="00194E3A">
              <w:rPr>
                <w:rStyle w:val="Hyperlinkki"/>
                <w:rFonts w:ascii="Arial" w:hAnsi="Arial" w:cs="Arial"/>
                <w:sz w:val="18"/>
                <w:szCs w:val="18"/>
                <w:lang w:val="en-US"/>
              </w:rPr>
              <w:t xml:space="preserve"> nr 106/2014</w:t>
            </w:r>
            <w:r w:rsidRPr="00194E3A">
              <w:rPr>
                <w:rStyle w:val="Hyperlinkki"/>
                <w:rFonts w:ascii="Arial" w:hAnsi="Arial" w:cs="Arial"/>
                <w:sz w:val="18"/>
                <w:szCs w:val="18"/>
                <w:lang w:val="en-US"/>
              </w:rPr>
              <w:fldChar w:fldCharType="end"/>
            </w:r>
            <w:r w:rsidRPr="00194E3A">
              <w:rPr>
                <w:rFonts w:ascii="Arial" w:hAnsi="Arial" w:cs="Arial"/>
                <w:sz w:val="18"/>
                <w:szCs w:val="18"/>
                <w:lang w:val="en-US"/>
              </w:rPr>
              <w:t>)</w:t>
            </w:r>
          </w:p>
          <w:p w14:paraId="59946FCC" w14:textId="77777777" w:rsidR="00194E3A" w:rsidRPr="00194E3A" w:rsidRDefault="00194E3A" w:rsidP="00A47015">
            <w:pPr>
              <w:rPr>
                <w:rFonts w:ascii="Arial" w:hAnsi="Arial" w:cs="Arial"/>
                <w:sz w:val="18"/>
                <w:szCs w:val="18"/>
                <w:lang w:val="en-US"/>
              </w:rPr>
            </w:pPr>
          </w:p>
          <w:p w14:paraId="2E91CAF0"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tredje granskning gällande uppföljning från år 2021</w:t>
            </w:r>
          </w:p>
        </w:tc>
        <w:tc>
          <w:tcPr>
            <w:tcW w:w="1945" w:type="dxa"/>
          </w:tcPr>
          <w:p w14:paraId="2A232D42" w14:textId="77777777" w:rsidR="00194E3A" w:rsidRPr="00194E3A" w:rsidRDefault="00194E3A" w:rsidP="00A47015">
            <w:pPr>
              <w:rPr>
                <w:rFonts w:ascii="Arial" w:hAnsi="Arial" w:cs="Arial"/>
                <w:sz w:val="18"/>
                <w:szCs w:val="18"/>
              </w:rPr>
            </w:pPr>
            <w:r w:rsidRPr="00194E3A">
              <w:rPr>
                <w:rFonts w:ascii="Arial" w:hAnsi="Arial" w:cs="Arial"/>
                <w:sz w:val="18"/>
                <w:szCs w:val="18"/>
              </w:rPr>
              <w:t>08.9.2016</w:t>
            </w:r>
          </w:p>
        </w:tc>
        <w:tc>
          <w:tcPr>
            <w:tcW w:w="2410" w:type="dxa"/>
          </w:tcPr>
          <w:p w14:paraId="228C0F2D"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722EEEC9"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24</w:t>
            </w:r>
            <w:r w:rsidRPr="00194E3A">
              <w:rPr>
                <w:rFonts w:ascii="Arial" w:hAnsi="Arial" w:cs="Arial"/>
                <w:sz w:val="18"/>
                <w:szCs w:val="18"/>
              </w:rPr>
              <w:t xml:space="preserve">, eftersom maximibeloppet på den ersättning som ska betalas ut för olaglig uppsägning inte alltid är tillräcklig i förhållande till förlusten som den orsakar. Lagen gör det inte heller möjligt att återställa ett anställningsförhållande i dessa fall. Lagstiftningen baserar sig på ett </w:t>
            </w:r>
            <w:r w:rsidRPr="00194E3A">
              <w:rPr>
                <w:rFonts w:ascii="Arial" w:hAnsi="Arial" w:cs="Arial"/>
                <w:sz w:val="18"/>
                <w:szCs w:val="18"/>
              </w:rPr>
              <w:lastRenderedPageBreak/>
              <w:t>trepartsbeslut, och regeringen anser inte att den bör ändras.</w:t>
            </w:r>
          </w:p>
        </w:tc>
        <w:tc>
          <w:tcPr>
            <w:tcW w:w="3509" w:type="dxa"/>
          </w:tcPr>
          <w:p w14:paraId="0D8B9321" w14:textId="77777777" w:rsidR="00194E3A" w:rsidRPr="00194E3A" w:rsidRDefault="00194E3A" w:rsidP="00A47015">
            <w:pPr>
              <w:rPr>
                <w:rFonts w:ascii="Arial" w:hAnsi="Arial" w:cs="Arial"/>
                <w:sz w:val="18"/>
                <w:szCs w:val="18"/>
              </w:rPr>
            </w:pPr>
            <w:r w:rsidRPr="00194E3A">
              <w:rPr>
                <w:rFonts w:ascii="Arial" w:hAnsi="Arial" w:cs="Arial"/>
                <w:sz w:val="18"/>
                <w:szCs w:val="18"/>
              </w:rPr>
              <w:lastRenderedPageBreak/>
              <w:t>Kommittén ansåg att inga åtgärder vidtagits på basis av avgörandet (varken gällande ersättningen eller återställandet av anställningsförhållandet).</w:t>
            </w:r>
          </w:p>
          <w:p w14:paraId="3E980113" w14:textId="77777777" w:rsidR="00194E3A" w:rsidRPr="00194E3A" w:rsidRDefault="00194E3A" w:rsidP="00A47015">
            <w:pPr>
              <w:rPr>
                <w:rFonts w:ascii="Arial" w:hAnsi="Arial" w:cs="Arial"/>
                <w:sz w:val="18"/>
                <w:szCs w:val="18"/>
              </w:rPr>
            </w:pPr>
          </w:p>
          <w:p w14:paraId="686E168F" w14:textId="77777777" w:rsidR="00194E3A" w:rsidRPr="00194E3A" w:rsidRDefault="00194E3A" w:rsidP="00A47015">
            <w:pPr>
              <w:rPr>
                <w:rFonts w:ascii="Arial" w:hAnsi="Arial" w:cs="Arial"/>
                <w:sz w:val="18"/>
                <w:szCs w:val="18"/>
              </w:rPr>
            </w:pPr>
          </w:p>
        </w:tc>
      </w:tr>
      <w:tr w:rsidR="00194E3A" w:rsidRPr="00194E3A" w14:paraId="0A70FBB0" w14:textId="77777777" w:rsidTr="00A47015">
        <w:tc>
          <w:tcPr>
            <w:tcW w:w="2728" w:type="dxa"/>
          </w:tcPr>
          <w:p w14:paraId="3DA7D31B"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Finnish Society of Social Rights mot Finland</w:t>
            </w:r>
            <w:r w:rsidRPr="00194E3A">
              <w:rPr>
                <w:rFonts w:ascii="Arial" w:hAnsi="Arial" w:cs="Arial"/>
                <w:sz w:val="18"/>
                <w:szCs w:val="18"/>
                <w:lang w:val="en-US"/>
              </w:rPr>
              <w:t xml:space="preserve"> (</w:t>
            </w:r>
            <w:proofErr w:type="spellStart"/>
            <w:r w:rsidRPr="00194E3A">
              <w:rPr>
                <w:rFonts w:ascii="Arial" w:hAnsi="Arial" w:cs="Arial"/>
                <w:sz w:val="18"/>
                <w:szCs w:val="18"/>
              </w:rPr>
              <w:fldChar w:fldCharType="begin"/>
            </w:r>
            <w:r w:rsidRPr="00194E3A">
              <w:rPr>
                <w:rFonts w:ascii="Arial" w:hAnsi="Arial" w:cs="Arial"/>
                <w:sz w:val="18"/>
                <w:szCs w:val="18"/>
                <w:lang w:val="en-GB"/>
              </w:rPr>
              <w:instrText xml:space="preserve"> HYPERLINK "https://www.coe.int/en/web/european-social-charter/processed-complaints/-/asset_publisher/5GEFkJmH2bYG/content/no-108-2014-finnish-society-of-social-rights-v-finland?inheritRedirect=false&amp;redirect=https://www.coe.int/en/web/european-social-charter/processed-complaints?p_p_id=101_INSTANCE_5GEFkJmH2bYG&amp;p_p_lifecycle=0&amp;p_p_state=normal&amp;p_p_mode=view&amp;p_p_col_id=column-4&amp;p_p_col_count=1&amp;p_r_p_564233524_resetCur=true&amp;p_r_p_564233524_categoryId=28547786" </w:instrText>
            </w:r>
            <w:r w:rsidRPr="00194E3A">
              <w:rPr>
                <w:rFonts w:ascii="Arial" w:hAnsi="Arial" w:cs="Arial"/>
                <w:sz w:val="18"/>
                <w:szCs w:val="18"/>
              </w:rPr>
              <w:fldChar w:fldCharType="separate"/>
            </w:r>
            <w:r w:rsidRPr="00194E3A">
              <w:rPr>
                <w:rStyle w:val="Hyperlinkki"/>
                <w:rFonts w:ascii="Arial" w:hAnsi="Arial" w:cs="Arial"/>
                <w:sz w:val="18"/>
                <w:szCs w:val="18"/>
                <w:lang w:val="en-US"/>
              </w:rPr>
              <w:t>klagomål</w:t>
            </w:r>
            <w:proofErr w:type="spellEnd"/>
            <w:r w:rsidRPr="00194E3A">
              <w:rPr>
                <w:rStyle w:val="Hyperlinkki"/>
                <w:rFonts w:ascii="Arial" w:hAnsi="Arial" w:cs="Arial"/>
                <w:sz w:val="18"/>
                <w:szCs w:val="18"/>
                <w:lang w:val="en-US"/>
              </w:rPr>
              <w:t xml:space="preserve"> nr 108/2014</w:t>
            </w:r>
            <w:r w:rsidRPr="00194E3A">
              <w:rPr>
                <w:rStyle w:val="Hyperlinkki"/>
                <w:rFonts w:ascii="Arial" w:hAnsi="Arial" w:cs="Arial"/>
                <w:sz w:val="18"/>
                <w:szCs w:val="18"/>
                <w:lang w:val="en-US"/>
              </w:rPr>
              <w:fldChar w:fldCharType="end"/>
            </w:r>
            <w:r w:rsidRPr="00194E3A">
              <w:rPr>
                <w:rFonts w:ascii="Arial" w:hAnsi="Arial" w:cs="Arial"/>
                <w:sz w:val="18"/>
                <w:szCs w:val="18"/>
                <w:lang w:val="en-US"/>
              </w:rPr>
              <w:t>)</w:t>
            </w:r>
          </w:p>
          <w:p w14:paraId="6A5A7CC3" w14:textId="77777777" w:rsidR="00194E3A" w:rsidRPr="00194E3A" w:rsidRDefault="00194E3A" w:rsidP="00A47015">
            <w:pPr>
              <w:rPr>
                <w:rFonts w:ascii="Arial" w:hAnsi="Arial" w:cs="Arial"/>
                <w:sz w:val="18"/>
                <w:szCs w:val="18"/>
                <w:lang w:val="en-US"/>
              </w:rPr>
            </w:pPr>
          </w:p>
          <w:p w14:paraId="2C712965"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tredje granskning gällande uppföljning från år 2021</w:t>
            </w:r>
          </w:p>
        </w:tc>
        <w:tc>
          <w:tcPr>
            <w:tcW w:w="1945" w:type="dxa"/>
          </w:tcPr>
          <w:p w14:paraId="0C4DD865" w14:textId="77777777" w:rsidR="00194E3A" w:rsidRPr="00194E3A" w:rsidRDefault="00194E3A" w:rsidP="00A47015">
            <w:pPr>
              <w:rPr>
                <w:rFonts w:ascii="Arial" w:hAnsi="Arial" w:cs="Arial"/>
                <w:sz w:val="18"/>
                <w:szCs w:val="18"/>
              </w:rPr>
            </w:pPr>
            <w:r w:rsidRPr="00194E3A">
              <w:rPr>
                <w:rFonts w:ascii="Arial" w:hAnsi="Arial" w:cs="Arial"/>
                <w:sz w:val="18"/>
                <w:szCs w:val="18"/>
              </w:rPr>
              <w:t>08.12.2016</w:t>
            </w:r>
          </w:p>
        </w:tc>
        <w:tc>
          <w:tcPr>
            <w:tcW w:w="2410" w:type="dxa"/>
          </w:tcPr>
          <w:p w14:paraId="21733FDC"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5D6591FE"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13</w:t>
            </w:r>
            <w:r w:rsidRPr="00194E3A">
              <w:rPr>
                <w:rFonts w:ascii="Arial" w:hAnsi="Arial" w:cs="Arial"/>
                <w:sz w:val="18"/>
                <w:szCs w:val="18"/>
              </w:rPr>
              <w:t>, eftersom enbart arbetsmarknadsstödet eller arbetsmarknadsstödet i kombination med andra förmåner (såsom bostadsbidrag och utkomststöd) inte räckte till för att täcka förmånstagarnas grundläggande behov. Enligt regeringen möjliggör de olika förmånerna sammantaget grundläggande försörjning. Bland annat bostadsbidraget reviderades 2015 genom att de avdrag som beaktas vid beräkningen minskades.</w:t>
            </w:r>
          </w:p>
        </w:tc>
        <w:tc>
          <w:tcPr>
            <w:tcW w:w="3509" w:type="dxa"/>
          </w:tcPr>
          <w:p w14:paraId="1C9EAA85"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anser att man inte vidtagit tillräckliga åtgärder för att höja arbetsmarknadsstödet till en adekvat nivå varken för sig eller i kombination med bostadsbidraget. Regeringen har inte heller i tillräcklig utsträckning påvisat att förmånerna ens sammantaget skulle förbättra situationen för dem som får arbetsmarknadsstöd.</w:t>
            </w:r>
          </w:p>
          <w:p w14:paraId="0E0083B7" w14:textId="77777777" w:rsidR="00194E3A" w:rsidRPr="00194E3A" w:rsidRDefault="00194E3A" w:rsidP="00A47015">
            <w:pPr>
              <w:rPr>
                <w:rFonts w:ascii="Arial" w:hAnsi="Arial" w:cs="Arial"/>
                <w:sz w:val="18"/>
                <w:szCs w:val="18"/>
              </w:rPr>
            </w:pPr>
          </w:p>
          <w:p w14:paraId="44C9BD53" w14:textId="77777777" w:rsidR="00194E3A" w:rsidRPr="00194E3A" w:rsidRDefault="00194E3A" w:rsidP="00A47015">
            <w:pPr>
              <w:rPr>
                <w:rFonts w:ascii="Arial" w:hAnsi="Arial" w:cs="Arial"/>
                <w:sz w:val="18"/>
                <w:szCs w:val="18"/>
              </w:rPr>
            </w:pPr>
          </w:p>
        </w:tc>
      </w:tr>
      <w:tr w:rsidR="00194E3A" w:rsidRPr="00194E3A" w14:paraId="6E716D3E" w14:textId="77777777" w:rsidTr="00A47015">
        <w:tc>
          <w:tcPr>
            <w:tcW w:w="2728" w:type="dxa"/>
          </w:tcPr>
          <w:p w14:paraId="2B743CF2" w14:textId="77777777" w:rsidR="00194E3A" w:rsidRPr="00194E3A" w:rsidRDefault="00194E3A" w:rsidP="00A47015">
            <w:pPr>
              <w:rPr>
                <w:rFonts w:ascii="Arial" w:hAnsi="Arial" w:cs="Arial"/>
                <w:sz w:val="18"/>
                <w:szCs w:val="18"/>
                <w:lang w:val="sv-SE"/>
              </w:rPr>
            </w:pPr>
            <w:r w:rsidRPr="00194E3A">
              <w:rPr>
                <w:rFonts w:ascii="Arial" w:hAnsi="Arial" w:cs="Arial"/>
                <w:b/>
                <w:sz w:val="18"/>
                <w:szCs w:val="18"/>
                <w:lang w:val="sv-SE"/>
              </w:rPr>
              <w:t xml:space="preserve">University </w:t>
            </w:r>
            <w:proofErr w:type="spellStart"/>
            <w:r w:rsidRPr="00194E3A">
              <w:rPr>
                <w:rFonts w:ascii="Arial" w:hAnsi="Arial" w:cs="Arial"/>
                <w:b/>
                <w:sz w:val="18"/>
                <w:szCs w:val="18"/>
                <w:lang w:val="sv-SE"/>
              </w:rPr>
              <w:t>Women</w:t>
            </w:r>
            <w:proofErr w:type="spellEnd"/>
            <w:r w:rsidRPr="00194E3A">
              <w:rPr>
                <w:rFonts w:ascii="Arial" w:hAnsi="Arial" w:cs="Arial"/>
                <w:b/>
                <w:sz w:val="18"/>
                <w:szCs w:val="18"/>
                <w:lang w:val="sv-SE"/>
              </w:rPr>
              <w:t xml:space="preserve"> </w:t>
            </w:r>
            <w:proofErr w:type="spellStart"/>
            <w:r w:rsidRPr="00194E3A">
              <w:rPr>
                <w:rFonts w:ascii="Arial" w:hAnsi="Arial" w:cs="Arial"/>
                <w:b/>
                <w:sz w:val="18"/>
                <w:szCs w:val="18"/>
                <w:lang w:val="sv-SE"/>
              </w:rPr>
              <w:t>of</w:t>
            </w:r>
            <w:proofErr w:type="spellEnd"/>
            <w:r w:rsidRPr="00194E3A">
              <w:rPr>
                <w:rFonts w:ascii="Arial" w:hAnsi="Arial" w:cs="Arial"/>
                <w:b/>
                <w:sz w:val="18"/>
                <w:szCs w:val="18"/>
                <w:lang w:val="sv-SE"/>
              </w:rPr>
              <w:t xml:space="preserve"> </w:t>
            </w:r>
            <w:proofErr w:type="spellStart"/>
            <w:r w:rsidRPr="00194E3A">
              <w:rPr>
                <w:rFonts w:ascii="Arial" w:hAnsi="Arial" w:cs="Arial"/>
                <w:b/>
                <w:sz w:val="18"/>
                <w:szCs w:val="18"/>
                <w:lang w:val="sv-SE"/>
              </w:rPr>
              <w:t>Europe</w:t>
            </w:r>
            <w:proofErr w:type="spellEnd"/>
            <w:r w:rsidRPr="00194E3A">
              <w:rPr>
                <w:rFonts w:ascii="Arial" w:hAnsi="Arial" w:cs="Arial"/>
                <w:b/>
                <w:sz w:val="18"/>
                <w:szCs w:val="18"/>
                <w:lang w:val="sv-SE"/>
              </w:rPr>
              <w:t xml:space="preserve"> (UWE) mot Finland</w:t>
            </w:r>
            <w:r w:rsidRPr="00194E3A">
              <w:rPr>
                <w:rFonts w:ascii="Arial" w:hAnsi="Arial" w:cs="Arial"/>
                <w:sz w:val="18"/>
                <w:szCs w:val="18"/>
                <w:lang w:val="sv-SE"/>
              </w:rPr>
              <w:t xml:space="preserve"> (</w:t>
            </w:r>
            <w:hyperlink r:id="rId5" w:history="1">
              <w:r w:rsidRPr="00194E3A">
                <w:rPr>
                  <w:rStyle w:val="Hyperlinkki"/>
                  <w:rFonts w:ascii="Arial" w:hAnsi="Arial" w:cs="Arial"/>
                  <w:sz w:val="18"/>
                  <w:szCs w:val="18"/>
                  <w:lang w:val="sv-SE"/>
                </w:rPr>
                <w:t>klagomål nr 129/2016</w:t>
              </w:r>
            </w:hyperlink>
            <w:r w:rsidRPr="00194E3A">
              <w:rPr>
                <w:rFonts w:ascii="Arial" w:hAnsi="Arial" w:cs="Arial"/>
                <w:sz w:val="18"/>
                <w:szCs w:val="18"/>
                <w:lang w:val="sv-SE"/>
              </w:rPr>
              <w:t>)</w:t>
            </w:r>
          </w:p>
          <w:p w14:paraId="2552D79F" w14:textId="77777777" w:rsidR="00194E3A" w:rsidRPr="00194E3A" w:rsidRDefault="00194E3A" w:rsidP="00A47015">
            <w:pPr>
              <w:rPr>
                <w:rFonts w:ascii="Arial" w:hAnsi="Arial" w:cs="Arial"/>
                <w:sz w:val="18"/>
                <w:szCs w:val="18"/>
                <w:lang w:val="sv-SE"/>
              </w:rPr>
            </w:pPr>
          </w:p>
          <w:p w14:paraId="7626C214"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-ministerkommitténs rekommendation </w:t>
            </w:r>
            <w:hyperlink r:id="rId6" w:history="1">
              <w:r w:rsidRPr="00194E3A">
                <w:rPr>
                  <w:rStyle w:val="Hyperlinkki"/>
                  <w:rFonts w:ascii="Arial" w:hAnsi="Arial" w:cs="Arial"/>
                  <w:sz w:val="18"/>
                  <w:szCs w:val="18"/>
                </w:rPr>
                <w:t>CM/</w:t>
              </w:r>
              <w:proofErr w:type="spellStart"/>
              <w:proofErr w:type="gramStart"/>
              <w:r w:rsidRPr="00194E3A">
                <w:rPr>
                  <w:rStyle w:val="Hyperlinkki"/>
                  <w:rFonts w:ascii="Arial" w:hAnsi="Arial" w:cs="Arial"/>
                  <w:sz w:val="18"/>
                  <w:szCs w:val="18"/>
                </w:rPr>
                <w:t>RecChS</w:t>
              </w:r>
              <w:proofErr w:type="spellEnd"/>
              <w:r w:rsidRPr="00194E3A">
                <w:rPr>
                  <w:rStyle w:val="Hyperlinkki"/>
                  <w:rFonts w:ascii="Arial" w:hAnsi="Arial" w:cs="Arial"/>
                  <w:sz w:val="18"/>
                  <w:szCs w:val="18"/>
                </w:rPr>
                <w:t>(</w:t>
              </w:r>
              <w:proofErr w:type="gramEnd"/>
              <w:r w:rsidRPr="00194E3A">
                <w:rPr>
                  <w:rStyle w:val="Hyperlinkki"/>
                  <w:rFonts w:ascii="Arial" w:hAnsi="Arial" w:cs="Arial"/>
                  <w:sz w:val="18"/>
                  <w:szCs w:val="18"/>
                </w:rPr>
                <w:t>2021)6</w:t>
              </w:r>
            </w:hyperlink>
            <w:r w:rsidRPr="00194E3A">
              <w:rPr>
                <w:rFonts w:ascii="Arial" w:hAnsi="Arial" w:cs="Arial"/>
                <w:sz w:val="18"/>
                <w:szCs w:val="18"/>
              </w:rPr>
              <w:t xml:space="preserve">, 17.3.2021 </w:t>
            </w:r>
          </w:p>
        </w:tc>
        <w:tc>
          <w:tcPr>
            <w:tcW w:w="1945" w:type="dxa"/>
          </w:tcPr>
          <w:p w14:paraId="47F078DE" w14:textId="77777777" w:rsidR="00194E3A" w:rsidRPr="00194E3A" w:rsidRDefault="00194E3A" w:rsidP="00A47015">
            <w:pPr>
              <w:rPr>
                <w:rFonts w:ascii="Arial" w:hAnsi="Arial" w:cs="Arial"/>
                <w:sz w:val="18"/>
                <w:szCs w:val="18"/>
              </w:rPr>
            </w:pPr>
            <w:r w:rsidRPr="00194E3A">
              <w:rPr>
                <w:rFonts w:ascii="Arial" w:hAnsi="Arial" w:cs="Arial"/>
                <w:sz w:val="18"/>
                <w:szCs w:val="18"/>
              </w:rPr>
              <w:t>06.12.2019</w:t>
            </w:r>
          </w:p>
        </w:tc>
        <w:tc>
          <w:tcPr>
            <w:tcW w:w="2410" w:type="dxa"/>
          </w:tcPr>
          <w:p w14:paraId="6F59C35F"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61A914D6"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artikel 4 § (3)</w:t>
            </w:r>
            <w:r w:rsidRPr="00194E3A">
              <w:rPr>
                <w:rFonts w:ascii="Arial" w:hAnsi="Arial" w:cs="Arial"/>
                <w:sz w:val="18"/>
                <w:szCs w:val="18"/>
              </w:rPr>
              <w:t xml:space="preserve">, eftersom lagstiftningen inte gör det möjligt att använda effektiva rättsmedel i och med att den inte innehåller bestämmelser om återanställning, om personen har sagts upp från sitt arbete efter att ha anfört besvär om jämställd lön. I fråga om </w:t>
            </w:r>
            <w:r w:rsidRPr="00194E3A">
              <w:rPr>
                <w:rFonts w:ascii="Arial" w:hAnsi="Arial" w:cs="Arial"/>
                <w:b/>
                <w:bCs/>
                <w:sz w:val="18"/>
                <w:szCs w:val="18"/>
              </w:rPr>
              <w:t>artikel 20 c</w:t>
            </w:r>
            <w:r w:rsidRPr="00194E3A">
              <w:rPr>
                <w:rFonts w:ascii="Arial" w:hAnsi="Arial" w:cs="Arial"/>
                <w:sz w:val="18"/>
                <w:szCs w:val="18"/>
              </w:rPr>
              <w:t xml:space="preserve"> konstaterade kommittén en överträdelse, eftersom Finland inte har vidtagit nödvändiga åtgärder för att främja tillämpningen av artikeln i fråga om rätten till lika möjligheter och jämställd behandling mellan män och kvinnor när det gäller ersättning för arbete.</w:t>
            </w:r>
          </w:p>
        </w:tc>
        <w:tc>
          <w:tcPr>
            <w:tcW w:w="3509" w:type="dxa"/>
          </w:tcPr>
          <w:p w14:paraId="2E91435D" w14:textId="77777777" w:rsidR="00194E3A" w:rsidRPr="00194E3A" w:rsidRDefault="00194E3A" w:rsidP="00A47015">
            <w:pPr>
              <w:rPr>
                <w:rFonts w:ascii="Arial" w:hAnsi="Arial" w:cs="Arial"/>
                <w:sz w:val="18"/>
                <w:szCs w:val="18"/>
              </w:rPr>
            </w:pPr>
            <w:r w:rsidRPr="00194E3A">
              <w:rPr>
                <w:rFonts w:ascii="Arial" w:hAnsi="Arial" w:cs="Arial"/>
                <w:sz w:val="18"/>
                <w:szCs w:val="18"/>
              </w:rPr>
              <w:t>Ministerkommittén rekommenderar att Finland:</w:t>
            </w:r>
          </w:p>
          <w:p w14:paraId="15D216A9" w14:textId="77777777" w:rsidR="00194E3A" w:rsidRPr="00194E3A" w:rsidRDefault="00194E3A" w:rsidP="00A47015">
            <w:pPr>
              <w:rPr>
                <w:rFonts w:ascii="Arial" w:hAnsi="Arial" w:cs="Arial"/>
                <w:sz w:val="18"/>
                <w:szCs w:val="18"/>
              </w:rPr>
            </w:pPr>
          </w:p>
          <w:p w14:paraId="37BC1CFF" w14:textId="77777777" w:rsidR="00194E3A" w:rsidRPr="00194E3A" w:rsidRDefault="00194E3A" w:rsidP="00A47015">
            <w:pPr>
              <w:rPr>
                <w:rFonts w:ascii="Arial" w:hAnsi="Arial" w:cs="Arial"/>
                <w:sz w:val="18"/>
                <w:szCs w:val="18"/>
              </w:rPr>
            </w:pPr>
            <w:r w:rsidRPr="00194E3A">
              <w:rPr>
                <w:rFonts w:ascii="Arial" w:hAnsi="Arial" w:cs="Arial"/>
                <w:sz w:val="18"/>
                <w:szCs w:val="18"/>
              </w:rPr>
              <w:t>-ser över och stärker de befintliga åtgärderna som syftar till att minska och avlägsna löneskillnaderna mellan könen och överväger godkännande av nya åtgärder i anslutning till detta, som möjliggör betydande framsteg inom en rimlig tidsperiod;</w:t>
            </w:r>
          </w:p>
          <w:p w14:paraId="46B1470A" w14:textId="77777777" w:rsidR="00194E3A" w:rsidRPr="00194E3A" w:rsidRDefault="00194E3A" w:rsidP="00A47015">
            <w:pPr>
              <w:rPr>
                <w:rFonts w:ascii="Arial" w:hAnsi="Arial" w:cs="Arial"/>
                <w:sz w:val="18"/>
                <w:szCs w:val="18"/>
              </w:rPr>
            </w:pPr>
          </w:p>
          <w:p w14:paraId="19FF33C3" w14:textId="77777777" w:rsidR="00194E3A" w:rsidRPr="00194E3A" w:rsidRDefault="00194E3A" w:rsidP="00A47015">
            <w:pPr>
              <w:rPr>
                <w:rFonts w:ascii="Arial" w:hAnsi="Arial" w:cs="Arial"/>
                <w:sz w:val="18"/>
                <w:szCs w:val="18"/>
              </w:rPr>
            </w:pPr>
            <w:r w:rsidRPr="00194E3A">
              <w:rPr>
                <w:rFonts w:ascii="Arial" w:hAnsi="Arial" w:cs="Arial"/>
                <w:sz w:val="18"/>
                <w:szCs w:val="18"/>
              </w:rPr>
              <w:t>-i följande rapport om uppföljningen av kollektiva klagomål (31.10.2022) påvisar de beslut och åtgärder som vidtagits för att följa denna rekommendation.</w:t>
            </w:r>
          </w:p>
        </w:tc>
      </w:tr>
      <w:tr w:rsidR="00194E3A" w:rsidRPr="00194E3A" w14:paraId="5CEE471A" w14:textId="77777777" w:rsidTr="00A47015">
        <w:tc>
          <w:tcPr>
            <w:tcW w:w="2728" w:type="dxa"/>
          </w:tcPr>
          <w:p w14:paraId="1078E694" w14:textId="77777777" w:rsidR="00194E3A" w:rsidRPr="00194E3A" w:rsidRDefault="00194E3A" w:rsidP="00A47015">
            <w:pPr>
              <w:rPr>
                <w:rFonts w:ascii="Arial" w:hAnsi="Arial" w:cs="Arial"/>
                <w:sz w:val="18"/>
                <w:szCs w:val="18"/>
                <w:lang w:val="en-US"/>
              </w:rPr>
            </w:pPr>
            <w:r w:rsidRPr="00194E3A">
              <w:rPr>
                <w:rFonts w:ascii="Arial" w:hAnsi="Arial" w:cs="Arial"/>
                <w:b/>
                <w:sz w:val="18"/>
                <w:szCs w:val="18"/>
                <w:lang w:val="en-US"/>
              </w:rPr>
              <w:t>Central Union for Child Welfare (CUCW) mot Finland</w:t>
            </w:r>
            <w:r w:rsidRPr="00194E3A">
              <w:rPr>
                <w:rFonts w:ascii="Arial" w:hAnsi="Arial" w:cs="Arial"/>
                <w:sz w:val="18"/>
                <w:szCs w:val="18"/>
                <w:lang w:val="en-US"/>
              </w:rPr>
              <w:t xml:space="preserve"> (</w:t>
            </w:r>
            <w:proofErr w:type="spellStart"/>
            <w:r w:rsidRPr="00194E3A">
              <w:rPr>
                <w:rFonts w:ascii="Arial" w:hAnsi="Arial" w:cs="Arial"/>
                <w:sz w:val="18"/>
                <w:szCs w:val="18"/>
              </w:rPr>
              <w:fldChar w:fldCharType="begin"/>
            </w:r>
            <w:r w:rsidRPr="00194E3A">
              <w:rPr>
                <w:rFonts w:ascii="Arial" w:hAnsi="Arial" w:cs="Arial"/>
                <w:sz w:val="18"/>
                <w:szCs w:val="18"/>
                <w:lang w:val="en-GB"/>
              </w:rPr>
              <w:instrText xml:space="preserve"> HYPERLINK "https://www.coe.int/en/web/european-social-charter/processed-complaints/-/asset_publisher/5GEFkJmH2bYG/content/no-139-2016-central-union-for-child-welfare-cucw-v-finland?inheritRedirect=false&amp;redirect=https://www.coe.int/en/web/european-social-charter/processed-complaints?p_p_id=101_INSTANCE_5GEFkJmH2bYG&amp;p_p_lifecycle=0&amp;p_p_state=normal&amp;p_p_mode=view&amp;p_p_col_id=column-4&amp;p_p_col_count=1&amp;_101_INSTANCE_5GEFkJmH2bYG_currentURL=%2Fen%2Fweb%2Feuropean-social-charter%2Fprocessed-complaints&amp;p_r_p_564233524_resetCur=true&amp;p_r_p_564233524_categoryId=28547786" </w:instrText>
            </w:r>
            <w:r w:rsidRPr="00194E3A">
              <w:rPr>
                <w:rFonts w:ascii="Arial" w:hAnsi="Arial" w:cs="Arial"/>
                <w:sz w:val="18"/>
                <w:szCs w:val="18"/>
              </w:rPr>
              <w:fldChar w:fldCharType="separate"/>
            </w:r>
            <w:r w:rsidRPr="00194E3A">
              <w:rPr>
                <w:rStyle w:val="Hyperlinkki"/>
                <w:rFonts w:ascii="Arial" w:hAnsi="Arial" w:cs="Arial"/>
                <w:sz w:val="18"/>
                <w:szCs w:val="18"/>
                <w:lang w:val="en-US"/>
              </w:rPr>
              <w:t>klagomål</w:t>
            </w:r>
            <w:proofErr w:type="spellEnd"/>
            <w:r w:rsidRPr="00194E3A">
              <w:rPr>
                <w:rStyle w:val="Hyperlinkki"/>
                <w:rFonts w:ascii="Arial" w:hAnsi="Arial" w:cs="Arial"/>
                <w:sz w:val="18"/>
                <w:szCs w:val="18"/>
                <w:lang w:val="en-US"/>
              </w:rPr>
              <w:t xml:space="preserve"> nr 139/2016</w:t>
            </w:r>
            <w:r w:rsidRPr="00194E3A">
              <w:rPr>
                <w:rStyle w:val="Hyperlinkki"/>
                <w:rFonts w:ascii="Arial" w:hAnsi="Arial" w:cs="Arial"/>
                <w:sz w:val="18"/>
                <w:szCs w:val="18"/>
                <w:lang w:val="en-US"/>
              </w:rPr>
              <w:fldChar w:fldCharType="end"/>
            </w:r>
            <w:r w:rsidRPr="00194E3A">
              <w:rPr>
                <w:rFonts w:ascii="Arial" w:hAnsi="Arial" w:cs="Arial"/>
                <w:sz w:val="18"/>
                <w:szCs w:val="18"/>
                <w:lang w:val="en-US"/>
              </w:rPr>
              <w:t>)</w:t>
            </w:r>
          </w:p>
          <w:p w14:paraId="09326368" w14:textId="77777777" w:rsidR="00194E3A" w:rsidRPr="00194E3A" w:rsidRDefault="00194E3A" w:rsidP="00A47015">
            <w:pPr>
              <w:rPr>
                <w:rFonts w:ascii="Arial" w:hAnsi="Arial" w:cs="Arial"/>
                <w:sz w:val="18"/>
                <w:szCs w:val="18"/>
                <w:lang w:val="en-US"/>
              </w:rPr>
            </w:pPr>
          </w:p>
          <w:p w14:paraId="6D1C43A0" w14:textId="77777777" w:rsidR="00194E3A" w:rsidRPr="00194E3A" w:rsidRDefault="00194E3A" w:rsidP="00A47015">
            <w:pPr>
              <w:rPr>
                <w:rFonts w:ascii="Arial" w:hAnsi="Arial" w:cs="Arial"/>
                <w:sz w:val="18"/>
                <w:szCs w:val="18"/>
              </w:rPr>
            </w:pPr>
            <w:r w:rsidRPr="00194E3A">
              <w:rPr>
                <w:rFonts w:ascii="Arial" w:hAnsi="Arial" w:cs="Arial"/>
                <w:sz w:val="18"/>
                <w:szCs w:val="18"/>
              </w:rPr>
              <w:t xml:space="preserve">-ministerkommitténs resolution </w:t>
            </w:r>
            <w:hyperlink r:id="rId7" w:history="1">
              <w:r w:rsidRPr="00194E3A">
                <w:rPr>
                  <w:rStyle w:val="Hyperlinkki"/>
                  <w:rFonts w:ascii="Arial" w:hAnsi="Arial" w:cs="Arial"/>
                  <w:sz w:val="18"/>
                  <w:szCs w:val="18"/>
                </w:rPr>
                <w:t>CM/</w:t>
              </w:r>
              <w:proofErr w:type="spellStart"/>
              <w:proofErr w:type="gramStart"/>
              <w:r w:rsidRPr="00194E3A">
                <w:rPr>
                  <w:rStyle w:val="Hyperlinkki"/>
                  <w:rFonts w:ascii="Arial" w:hAnsi="Arial" w:cs="Arial"/>
                  <w:sz w:val="18"/>
                  <w:szCs w:val="18"/>
                </w:rPr>
                <w:t>ResChS</w:t>
              </w:r>
              <w:proofErr w:type="spellEnd"/>
              <w:r w:rsidRPr="00194E3A">
                <w:rPr>
                  <w:rStyle w:val="Hyperlinkki"/>
                  <w:rFonts w:ascii="Arial" w:hAnsi="Arial" w:cs="Arial"/>
                  <w:sz w:val="18"/>
                  <w:szCs w:val="18"/>
                </w:rPr>
                <w:t>(</w:t>
              </w:r>
              <w:proofErr w:type="gramEnd"/>
              <w:r w:rsidRPr="00194E3A">
                <w:rPr>
                  <w:rStyle w:val="Hyperlinkki"/>
                  <w:rFonts w:ascii="Arial" w:hAnsi="Arial" w:cs="Arial"/>
                  <w:sz w:val="18"/>
                  <w:szCs w:val="18"/>
                </w:rPr>
                <w:t>2020)3</w:t>
              </w:r>
            </w:hyperlink>
            <w:r w:rsidRPr="00194E3A">
              <w:rPr>
                <w:rFonts w:ascii="Arial" w:hAnsi="Arial" w:cs="Arial"/>
                <w:sz w:val="18"/>
                <w:szCs w:val="18"/>
              </w:rPr>
              <w:t>, 11.3.2020</w:t>
            </w:r>
          </w:p>
        </w:tc>
        <w:tc>
          <w:tcPr>
            <w:tcW w:w="1945" w:type="dxa"/>
          </w:tcPr>
          <w:p w14:paraId="705B4FD3" w14:textId="77777777" w:rsidR="00194E3A" w:rsidRPr="00194E3A" w:rsidRDefault="00194E3A" w:rsidP="00A47015">
            <w:pPr>
              <w:rPr>
                <w:rFonts w:ascii="Arial" w:hAnsi="Arial" w:cs="Arial"/>
                <w:sz w:val="18"/>
                <w:szCs w:val="18"/>
              </w:rPr>
            </w:pPr>
            <w:r w:rsidRPr="00194E3A">
              <w:rPr>
                <w:rFonts w:ascii="Arial" w:hAnsi="Arial" w:cs="Arial"/>
                <w:sz w:val="18"/>
                <w:szCs w:val="18"/>
              </w:rPr>
              <w:t>11.9.2019</w:t>
            </w:r>
          </w:p>
        </w:tc>
        <w:tc>
          <w:tcPr>
            <w:tcW w:w="2410" w:type="dxa"/>
          </w:tcPr>
          <w:p w14:paraId="7A1257D8" w14:textId="77777777" w:rsidR="00194E3A" w:rsidRPr="00194E3A" w:rsidRDefault="00194E3A" w:rsidP="00A47015">
            <w:pPr>
              <w:rPr>
                <w:rFonts w:ascii="Arial" w:hAnsi="Arial" w:cs="Arial"/>
                <w:sz w:val="18"/>
                <w:szCs w:val="18"/>
              </w:rPr>
            </w:pPr>
            <w:r w:rsidRPr="00194E3A">
              <w:rPr>
                <w:rFonts w:ascii="Arial" w:hAnsi="Arial" w:cs="Arial"/>
                <w:sz w:val="18"/>
                <w:szCs w:val="18"/>
              </w:rPr>
              <w:t>Kommittén för sociala rättigheter har konstaterat en överträdelse, men den har ännu inte rättats till.</w:t>
            </w:r>
          </w:p>
        </w:tc>
        <w:tc>
          <w:tcPr>
            <w:tcW w:w="3402" w:type="dxa"/>
          </w:tcPr>
          <w:p w14:paraId="2CC105F6" w14:textId="77777777" w:rsidR="00194E3A" w:rsidRPr="00194E3A" w:rsidRDefault="00194E3A" w:rsidP="00A47015">
            <w:pPr>
              <w:rPr>
                <w:rFonts w:ascii="Arial" w:hAnsi="Arial" w:cs="Arial"/>
                <w:b/>
                <w:bCs/>
                <w:sz w:val="18"/>
                <w:szCs w:val="18"/>
              </w:rPr>
            </w:pPr>
            <w:r w:rsidRPr="00194E3A">
              <w:rPr>
                <w:rFonts w:ascii="Arial" w:hAnsi="Arial" w:cs="Arial"/>
                <w:sz w:val="18"/>
                <w:szCs w:val="18"/>
              </w:rPr>
              <w:t xml:space="preserve">Kommittén konstaterade en överträdelse av </w:t>
            </w:r>
            <w:r w:rsidRPr="00194E3A">
              <w:rPr>
                <w:rFonts w:ascii="Arial" w:hAnsi="Arial" w:cs="Arial"/>
                <w:b/>
                <w:sz w:val="18"/>
                <w:szCs w:val="18"/>
              </w:rPr>
              <w:t>artiklarna 16,</w:t>
            </w:r>
          </w:p>
          <w:p w14:paraId="040E7807" w14:textId="77777777" w:rsidR="00194E3A" w:rsidRPr="00194E3A" w:rsidRDefault="00194E3A" w:rsidP="00A47015">
            <w:pPr>
              <w:rPr>
                <w:rFonts w:ascii="Arial" w:hAnsi="Arial" w:cs="Arial"/>
                <w:sz w:val="18"/>
                <w:szCs w:val="18"/>
              </w:rPr>
            </w:pPr>
            <w:r w:rsidRPr="00194E3A">
              <w:rPr>
                <w:rFonts w:ascii="Arial" w:hAnsi="Arial" w:cs="Arial"/>
                <w:b/>
                <w:sz w:val="18"/>
                <w:szCs w:val="18"/>
              </w:rPr>
              <w:t>17 och 27</w:t>
            </w:r>
            <w:r w:rsidRPr="00194E3A">
              <w:rPr>
                <w:rFonts w:ascii="Arial" w:hAnsi="Arial" w:cs="Arial"/>
                <w:sz w:val="18"/>
                <w:szCs w:val="18"/>
              </w:rPr>
              <w:t xml:space="preserve">, eftersom barn, vars föräldrar inte förvärvsarbetade hade en annan ställning i småbarnspedagogiken än barn vars föräldrar förvärvsarbetade och det inte fanns något objektivt och motiverat skäl för skillnaden. Lagen hade en bestämmelse som försatte familjer i likartad ställning i olika </w:t>
            </w:r>
            <w:r w:rsidRPr="00194E3A">
              <w:rPr>
                <w:rFonts w:ascii="Arial" w:hAnsi="Arial" w:cs="Arial"/>
                <w:sz w:val="18"/>
                <w:szCs w:val="18"/>
              </w:rPr>
              <w:lastRenderedPageBreak/>
              <w:t>ställning utan godtagbart skäl. Regeringen har inte kunnat ge godtagbara skäl till att föräldrarna särbehandlas i fråga om tillgången till barnvård, vilket drabbar dem som behöver stöd mest.</w:t>
            </w:r>
          </w:p>
        </w:tc>
        <w:tc>
          <w:tcPr>
            <w:tcW w:w="3509" w:type="dxa"/>
          </w:tcPr>
          <w:p w14:paraId="3A1F46DC" w14:textId="77777777" w:rsidR="00194E3A" w:rsidRPr="00194E3A" w:rsidRDefault="00194E3A" w:rsidP="00A47015">
            <w:pPr>
              <w:rPr>
                <w:rFonts w:ascii="Arial" w:hAnsi="Arial" w:cs="Arial"/>
                <w:sz w:val="18"/>
                <w:szCs w:val="18"/>
              </w:rPr>
            </w:pPr>
            <w:r w:rsidRPr="00194E3A">
              <w:rPr>
                <w:rFonts w:ascii="Arial" w:hAnsi="Arial" w:cs="Arial"/>
                <w:sz w:val="18"/>
                <w:szCs w:val="18"/>
              </w:rPr>
              <w:lastRenderedPageBreak/>
              <w:t>Ministerkommittén beaktar informationen som de finska myndigheterna har lagt fram, särskilt de ändringar i småbarnspedagogiken som trädde i kraft i augusti 2020. Kommittén förväntar sig att Finland i samband med följande rapport rapporterar om annan eventuell utveckling som har anknytning till relevanta bestämmelser i stadgan.</w:t>
            </w:r>
          </w:p>
        </w:tc>
      </w:tr>
    </w:tbl>
    <w:p w14:paraId="3C2AA0D7" w14:textId="77777777" w:rsidR="00194E3A" w:rsidRPr="00194E3A" w:rsidRDefault="00194E3A" w:rsidP="00194E3A">
      <w:pPr>
        <w:rPr>
          <w:rFonts w:ascii="Arial" w:hAnsi="Arial" w:cs="Arial"/>
          <w:sz w:val="18"/>
          <w:szCs w:val="18"/>
        </w:rPr>
      </w:pPr>
    </w:p>
    <w:p w14:paraId="4A691D44" w14:textId="77777777" w:rsidR="00194E3A" w:rsidRPr="00194E3A" w:rsidRDefault="00194E3A" w:rsidP="00194E3A">
      <w:pPr>
        <w:rPr>
          <w:rFonts w:ascii="Arial" w:hAnsi="Arial" w:cs="Arial"/>
          <w:color w:val="FF0000"/>
          <w:sz w:val="18"/>
          <w:szCs w:val="18"/>
        </w:rPr>
      </w:pPr>
      <w:r w:rsidRPr="00194E3A">
        <w:rPr>
          <w:rFonts w:ascii="Arial" w:hAnsi="Arial" w:cs="Arial"/>
          <w:color w:val="FF0000"/>
          <w:sz w:val="18"/>
          <w:szCs w:val="18"/>
        </w:rPr>
        <w:t xml:space="preserve"> </w:t>
      </w:r>
    </w:p>
    <w:p w14:paraId="7E408772" w14:textId="77777777" w:rsidR="000E216D" w:rsidRPr="00194E3A" w:rsidRDefault="000E216D">
      <w:pPr>
        <w:rPr>
          <w:rFonts w:ascii="Arial" w:hAnsi="Arial" w:cs="Arial"/>
          <w:sz w:val="18"/>
          <w:szCs w:val="18"/>
        </w:rPr>
      </w:pPr>
    </w:p>
    <w:sectPr w:rsidR="000E216D" w:rsidRPr="00194E3A" w:rsidSect="00163255">
      <w:headerReference w:type="default" r:id="rId8"/>
      <w:footerReference w:type="default" r:id="rId9"/>
      <w:pgSz w:w="16838" w:h="11906" w:orient="landscape"/>
      <w:pgMar w:top="1134" w:right="1417" w:bottom="1134" w:left="1417"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73464"/>
      <w:docPartObj>
        <w:docPartGallery w:val="Page Numbers (Bottom of Page)"/>
        <w:docPartUnique/>
      </w:docPartObj>
    </w:sdtPr>
    <w:sdtEndPr>
      <w:rPr>
        <w:rFonts w:ascii="Arial" w:hAnsi="Arial" w:cs="Arial"/>
        <w:sz w:val="18"/>
        <w:szCs w:val="18"/>
      </w:rPr>
    </w:sdtEndPr>
    <w:sdtContent>
      <w:p w14:paraId="6D6FCD5C" w14:textId="77777777" w:rsidR="00E73326" w:rsidRPr="00163255" w:rsidRDefault="00194E3A">
        <w:pPr>
          <w:pStyle w:val="Alatunniste"/>
          <w:jc w:val="right"/>
          <w:rPr>
            <w:rFonts w:ascii="Arial" w:hAnsi="Arial" w:cs="Arial"/>
            <w:sz w:val="18"/>
            <w:szCs w:val="18"/>
          </w:rPr>
        </w:pPr>
        <w:r>
          <w:rPr>
            <w:rFonts w:ascii="Arial" w:hAnsi="Arial"/>
            <w:noProof/>
            <w:sz w:val="18"/>
          </w:rPr>
          <w:drawing>
            <wp:anchor distT="0" distB="0" distL="114300" distR="114300" simplePos="0" relativeHeight="251663360" behindDoc="1" locked="0" layoutInCell="1" allowOverlap="1" wp14:anchorId="54E45783" wp14:editId="56FE27B3">
              <wp:simplePos x="0" y="0"/>
              <wp:positionH relativeFrom="margin">
                <wp:align>right</wp:align>
              </wp:positionH>
              <wp:positionV relativeFrom="paragraph">
                <wp:posOffset>-20955</wp:posOffset>
              </wp:positionV>
              <wp:extent cx="5105400" cy="790575"/>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8"/>
          </w:rPr>
          <w:drawing>
            <wp:anchor distT="0" distB="0" distL="114300" distR="114300" simplePos="0" relativeHeight="251662336" behindDoc="1" locked="0" layoutInCell="1" allowOverlap="1" wp14:anchorId="6F45DDC8" wp14:editId="665A471A">
              <wp:simplePos x="0" y="0"/>
              <wp:positionH relativeFrom="column">
                <wp:posOffset>2790825</wp:posOffset>
              </wp:positionH>
              <wp:positionV relativeFrom="paragraph">
                <wp:posOffset>3383280</wp:posOffset>
              </wp:positionV>
              <wp:extent cx="5105400" cy="790575"/>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sidRPr="00163255">
          <w:rPr>
            <w:rFonts w:ascii="Arial" w:hAnsi="Arial" w:cs="Arial"/>
            <w:sz w:val="18"/>
          </w:rPr>
          <w:fldChar w:fldCharType="begin"/>
        </w:r>
        <w:r w:rsidRPr="00163255">
          <w:rPr>
            <w:rFonts w:ascii="Arial" w:hAnsi="Arial" w:cs="Arial"/>
            <w:sz w:val="18"/>
          </w:rPr>
          <w:instrText>PAGE   \* MERGEFORMAT</w:instrText>
        </w:r>
        <w:r w:rsidRPr="00163255">
          <w:rPr>
            <w:rFonts w:ascii="Arial" w:hAnsi="Arial" w:cs="Arial"/>
            <w:sz w:val="18"/>
          </w:rPr>
          <w:fldChar w:fldCharType="separate"/>
        </w:r>
        <w:r w:rsidRPr="00163255">
          <w:rPr>
            <w:rFonts w:ascii="Arial" w:hAnsi="Arial" w:cs="Arial"/>
            <w:sz w:val="18"/>
          </w:rPr>
          <w:t>2</w:t>
        </w:r>
        <w:r w:rsidRPr="00163255">
          <w:rPr>
            <w:rFonts w:ascii="Arial" w:hAnsi="Arial" w:cs="Arial"/>
            <w:sz w:val="18"/>
          </w:rPr>
          <w:fldChar w:fldCharType="end"/>
        </w:r>
      </w:p>
    </w:sdtContent>
  </w:sdt>
  <w:p w14:paraId="7526416C" w14:textId="77777777" w:rsidR="00E73326" w:rsidRDefault="00194E3A" w:rsidP="009733C3">
    <w:pPr>
      <w:pStyle w:val="Alatunniste"/>
      <w:tabs>
        <w:tab w:val="clear" w:pos="4819"/>
        <w:tab w:val="clear" w:pos="9638"/>
        <w:tab w:val="left" w:pos="5920"/>
      </w:tabs>
    </w:pPr>
    <w:r>
      <w:rPr>
        <w:noProof/>
      </w:rPr>
      <w:drawing>
        <wp:anchor distT="0" distB="0" distL="114300" distR="114300" simplePos="0" relativeHeight="251661312" behindDoc="1" locked="0" layoutInCell="1" allowOverlap="1" wp14:anchorId="30669D9E" wp14:editId="6BB982D3">
          <wp:simplePos x="0" y="0"/>
          <wp:positionH relativeFrom="column">
            <wp:posOffset>1227455</wp:posOffset>
          </wp:positionH>
          <wp:positionV relativeFrom="paragraph">
            <wp:posOffset>4951095</wp:posOffset>
          </wp:positionV>
          <wp:extent cx="5105400" cy="79057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6DCBCFB" wp14:editId="1D4ACB6B">
          <wp:simplePos x="0" y="0"/>
          <wp:positionH relativeFrom="column">
            <wp:posOffset>1227455</wp:posOffset>
          </wp:positionH>
          <wp:positionV relativeFrom="paragraph">
            <wp:posOffset>4951095</wp:posOffset>
          </wp:positionV>
          <wp:extent cx="5105400" cy="79057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8648" w14:textId="77777777" w:rsidR="009733C3" w:rsidRDefault="00194E3A">
    <w:pPr>
      <w:pStyle w:val="Yltunniste"/>
    </w:pPr>
    <w:r>
      <w:rPr>
        <w:rFonts w:ascii="Arial" w:hAnsi="Arial"/>
        <w:noProof/>
        <w:color w:val="000000"/>
        <w:sz w:val="18"/>
      </w:rPr>
      <w:drawing>
        <wp:anchor distT="0" distB="0" distL="114300" distR="114300" simplePos="0" relativeHeight="251659264" behindDoc="1" locked="0" layoutInCell="1" allowOverlap="1" wp14:anchorId="010B3E33" wp14:editId="275DCF3E">
          <wp:simplePos x="0" y="0"/>
          <wp:positionH relativeFrom="column">
            <wp:posOffset>1530350</wp:posOffset>
          </wp:positionH>
          <wp:positionV relativeFrom="paragraph">
            <wp:posOffset>-722630</wp:posOffset>
          </wp:positionV>
          <wp:extent cx="7559675" cy="849630"/>
          <wp:effectExtent l="0" t="0" r="0" b="762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2A40"/>
    <w:multiLevelType w:val="hybridMultilevel"/>
    <w:tmpl w:val="0518C0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483D16"/>
    <w:multiLevelType w:val="hybridMultilevel"/>
    <w:tmpl w:val="39504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8A14464"/>
    <w:multiLevelType w:val="hybridMultilevel"/>
    <w:tmpl w:val="A0845A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89E3AFF"/>
    <w:multiLevelType w:val="hybridMultilevel"/>
    <w:tmpl w:val="86365A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00079562">
    <w:abstractNumId w:val="1"/>
  </w:num>
  <w:num w:numId="2" w16cid:durableId="1213495538">
    <w:abstractNumId w:val="3"/>
  </w:num>
  <w:num w:numId="3" w16cid:durableId="597375430">
    <w:abstractNumId w:val="0"/>
  </w:num>
  <w:num w:numId="4" w16cid:durableId="589462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3A"/>
    <w:rsid w:val="000E216D"/>
    <w:rsid w:val="00194E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1DFA"/>
  <w15:chartTrackingRefBased/>
  <w15:docId w15:val="{D147E555-C49F-4FD1-8167-7346EB50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94E3A"/>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94E3A"/>
    <w:pPr>
      <w:spacing w:after="0" w:line="240" w:lineRule="auto"/>
    </w:pPr>
    <w:rPr>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194E3A"/>
    <w:rPr>
      <w:color w:val="0563C1" w:themeColor="hyperlink"/>
      <w:u w:val="single"/>
    </w:rPr>
  </w:style>
  <w:style w:type="paragraph" w:styleId="Yltunniste">
    <w:name w:val="header"/>
    <w:basedOn w:val="Normaali"/>
    <w:link w:val="YltunnisteChar"/>
    <w:uiPriority w:val="99"/>
    <w:unhideWhenUsed/>
    <w:rsid w:val="00194E3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94E3A"/>
    <w:rPr>
      <w:lang w:val="sv-FI"/>
    </w:rPr>
  </w:style>
  <w:style w:type="paragraph" w:styleId="Alatunniste">
    <w:name w:val="footer"/>
    <w:basedOn w:val="Normaali"/>
    <w:link w:val="AlatunnisteChar"/>
    <w:uiPriority w:val="99"/>
    <w:unhideWhenUsed/>
    <w:rsid w:val="00194E3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94E3A"/>
    <w:rPr>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arch.coe.int/cm/Pages/result_details.aspx?ObjectId=09000016809ce4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coe.int/cm/Pages/result_details.aspx?ObjectId=0900001680a1d260" TargetMode="External"/><Relationship Id="rId11" Type="http://schemas.openxmlformats.org/officeDocument/2006/relationships/theme" Target="theme/theme1.xml"/><Relationship Id="rId5" Type="http://schemas.openxmlformats.org/officeDocument/2006/relationships/hyperlink" Target="https://www.coe.int/en/web/european-social-charter/processed-complaints/-/asset_publisher/5GEFkJmH2bYG/content/no-129-2016-university-women-of-europe-uwe-v-finland?inheritRedirect=false&amp;redirect=https://www.coe.int/en/web/european-social-charter/processed-complaints?p_p_id=101_INSTANCE_5GEFkJmH2bYG&amp;p_p_lifecycle=0&amp;p_p_state=normal&amp;p_p_mode=view&amp;p_p_col_id=column-4&amp;p_p_col_count=1&amp;_101_INSTANCE_5GEFkJmH2bYG_currentURL=%2Fen%2Fweb%2Feuropean-social-charter%2Fprocessed-complaints&amp;p_r_p_564233524_resetCur=true&amp;p_r_p_564233524_categoryId=285477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11053</Characters>
  <Application>Microsoft Office Word</Application>
  <DocSecurity>0</DocSecurity>
  <Lines>92</Lines>
  <Paragraphs>24</Paragraphs>
  <ScaleCrop>false</ScaleCrop>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Kupiainen Emmi</dc:creator>
  <cp:keywords/>
  <dc:description/>
  <cp:lastModifiedBy>Kupiainen Emmi</cp:lastModifiedBy>
  <cp:revision>1</cp:revision>
  <dcterms:created xsi:type="dcterms:W3CDTF">2023-02-27T11:57:00Z</dcterms:created>
  <dcterms:modified xsi:type="dcterms:W3CDTF">2023-02-27T12:02:00Z</dcterms:modified>
</cp:coreProperties>
</file>