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B66" w:rsidRDefault="00384B66" w:rsidP="00B21779">
      <w:pPr>
        <w:rPr>
          <w:rFonts w:ascii="Arial" w:hAnsi="Arial"/>
          <w:sz w:val="24"/>
          <w:szCs w:val="24"/>
        </w:rPr>
      </w:pPr>
      <w:bookmarkStart w:id="0" w:name="_Toc485656208"/>
      <w:bookmarkStart w:id="1" w:name="_Toc488143921"/>
      <w:r w:rsidRPr="00384B66">
        <w:rPr>
          <w:rFonts w:ascii="Arial" w:hAnsi="Arial"/>
          <w:sz w:val="24"/>
          <w:szCs w:val="24"/>
        </w:rPr>
        <w:t>Forskningen om de grundläggande fri- och rättigheterna och de mänskliga rättigheterna</w:t>
      </w:r>
      <w:r>
        <w:rPr>
          <w:rFonts w:ascii="Arial" w:hAnsi="Arial"/>
          <w:sz w:val="24"/>
          <w:szCs w:val="24"/>
        </w:rPr>
        <w:t>, MRC utredning 2017</w:t>
      </w:r>
      <w:bookmarkStart w:id="2" w:name="_GoBack"/>
      <w:bookmarkEnd w:id="2"/>
    </w:p>
    <w:p w:rsidR="00B21779" w:rsidRPr="00B21779" w:rsidRDefault="00B21779" w:rsidP="00B21779">
      <w:pPr>
        <w:rPr>
          <w:rFonts w:ascii="Arial" w:hAnsi="Arial" w:cs="Arial"/>
          <w:sz w:val="24"/>
          <w:szCs w:val="24"/>
        </w:rPr>
      </w:pPr>
      <w:r>
        <w:rPr>
          <w:rFonts w:ascii="Arial" w:hAnsi="Arial"/>
          <w:sz w:val="24"/>
          <w:szCs w:val="24"/>
        </w:rPr>
        <w:t>Sammanfattning</w:t>
      </w:r>
      <w:bookmarkEnd w:id="0"/>
      <w:bookmarkEnd w:id="1"/>
    </w:p>
    <w:p w:rsidR="00B21779" w:rsidRPr="00B21779" w:rsidRDefault="00B21779" w:rsidP="00B21779">
      <w:pPr>
        <w:rPr>
          <w:rFonts w:ascii="Arial" w:hAnsi="Arial" w:cs="Arial"/>
          <w:sz w:val="24"/>
          <w:szCs w:val="24"/>
        </w:rPr>
      </w:pPr>
    </w:p>
    <w:p w:rsidR="00B21779" w:rsidRPr="00B21779" w:rsidRDefault="00B21779" w:rsidP="00B21779">
      <w:pPr>
        <w:rPr>
          <w:rFonts w:ascii="Arial" w:hAnsi="Arial" w:cs="Arial"/>
          <w:sz w:val="24"/>
          <w:szCs w:val="24"/>
        </w:rPr>
      </w:pPr>
      <w:r>
        <w:rPr>
          <w:rFonts w:ascii="Arial" w:hAnsi="Arial"/>
          <w:sz w:val="24"/>
          <w:szCs w:val="24"/>
        </w:rPr>
        <w:t>Forskningen om de grundläggande fri- och rättigheterna och de mänskliga rättigheterna är viktig för utvecklingen och i sista hand för förverkligandet av de mänskliga rättigheterna. Människorättscentret, som grundades 2012, har i lag fått i uppdrag att främja forskningen om de grundläggande fri- och rättigheterna och de mänskliga rättigheterna i Finland.  För att genomföra denna uppgift utredde Människorättscentret vilka åsikter forskare och andra sakkunniga har om forskningens tillstånd och framtid i Finland.</w:t>
      </w:r>
    </w:p>
    <w:p w:rsidR="00B21779" w:rsidRPr="00B21779" w:rsidRDefault="00B21779" w:rsidP="00B21779">
      <w:pPr>
        <w:rPr>
          <w:rFonts w:ascii="Arial" w:hAnsi="Arial" w:cs="Arial"/>
          <w:sz w:val="24"/>
          <w:szCs w:val="24"/>
        </w:rPr>
      </w:pPr>
      <w:r>
        <w:rPr>
          <w:rFonts w:ascii="Arial" w:hAnsi="Arial"/>
          <w:sz w:val="24"/>
          <w:szCs w:val="24"/>
        </w:rPr>
        <w:t>Utredningen gjordes genom att intervjua 24 erfarna sakkunniga i ämnet. Data samlades också in med hjälp av en webbenkät vid universitet och bland andra forskare. Cirka 200 personer svarade på enkäten.</w:t>
      </w:r>
    </w:p>
    <w:p w:rsidR="00B21779" w:rsidRPr="00B21779" w:rsidRDefault="00B21779" w:rsidP="00B21779">
      <w:pPr>
        <w:rPr>
          <w:rFonts w:ascii="Arial" w:hAnsi="Arial" w:cs="Arial"/>
          <w:sz w:val="24"/>
          <w:szCs w:val="24"/>
        </w:rPr>
      </w:pPr>
      <w:r>
        <w:rPr>
          <w:rFonts w:ascii="Arial" w:hAnsi="Arial"/>
          <w:sz w:val="24"/>
          <w:szCs w:val="24"/>
        </w:rPr>
        <w:t xml:space="preserve">I utredningen ville man inte fokusera endast eller ens i första hand på forskning inom juridiken, utan målet var att inkludera all forskning som är relevant för de grundläggande fri- och rättigheterna och de mänskliga rättigheterna i Finland. Utöver den egentliga forskningen om de grundläggande fri- och rättigheterna och de mänskliga rättigheterna omfattade alltså den forskning som inkluderades i utredningen också forskning med en dimension av dessa rättigheter. I utredningen strävade man efter att se forskningen som är fördelad mellan olika vetenskapsområden som en helhet och att ge forskningen om de grundläggande fri- och rättigheterna och de mänskliga rättigheterna en bredare definition också i framtiden, vilket i sig kan främja exempelvis tvärvetenskaplig forskning om de grundläggande fri- och rättigheterna och de mänskliga rättigheterna. </w:t>
      </w:r>
    </w:p>
    <w:p w:rsidR="00B21779" w:rsidRPr="00B21779" w:rsidRDefault="00B21779" w:rsidP="00B21779">
      <w:pPr>
        <w:rPr>
          <w:rFonts w:ascii="Arial" w:hAnsi="Arial" w:cs="Arial"/>
          <w:sz w:val="24"/>
          <w:szCs w:val="24"/>
        </w:rPr>
      </w:pPr>
      <w:r>
        <w:rPr>
          <w:rFonts w:ascii="Arial" w:hAnsi="Arial"/>
          <w:sz w:val="24"/>
          <w:szCs w:val="24"/>
        </w:rPr>
        <w:t>På ett allmänt plan ansåg de sakkunniga att situationen är gynnsam inom forskningen om de grundläggande fri- och rättigheterna och de mänskliga rättigheterna. Man förde fram att kompetensen är hög inom forskningen om de grundläggande fri- och rättigheterna och de mänskliga rättigheterna i Finland, vilket har lett till en etablerad ställning som forskningsområde under de senaste decennierna. Forskningen bedöms emellertid vara relativt nationellt avgränsad och man önskar att forskarna i framtiden ska producera fler publikationer på internationell nivå.</w:t>
      </w:r>
    </w:p>
    <w:p w:rsidR="00B21779" w:rsidRPr="00B21779" w:rsidRDefault="00B21779" w:rsidP="00B21779">
      <w:pPr>
        <w:rPr>
          <w:rFonts w:ascii="Arial" w:hAnsi="Arial" w:cs="Arial"/>
          <w:sz w:val="24"/>
          <w:szCs w:val="24"/>
        </w:rPr>
      </w:pPr>
      <w:r>
        <w:rPr>
          <w:rFonts w:ascii="Arial" w:hAnsi="Arial"/>
          <w:sz w:val="24"/>
          <w:szCs w:val="24"/>
        </w:rPr>
        <w:t xml:space="preserve">Utredningen visar att forskningen om de grundläggande fri- och rättigheterna och de mänskliga rättigheterna numera är omfattande och innehållsmässigt varierande. Kritisk forskning om de grundläggande fri- och rättigheterna och de mänskliga rättigheterna kan anses spela en egen, viktig roll inom området. Forskningen som produceras inom det omfattande och splittrade forskningsfältet betraktas å sin sida som fokuserad på vissa punkter, så att valet av forskningsteman och förekomsten av forskning inom olika vetenskaper kan vara relativt slumpmässig och mer stagnerad än på 90-talet.  </w:t>
      </w:r>
    </w:p>
    <w:p w:rsidR="00B21779" w:rsidRPr="00B21779" w:rsidRDefault="00B21779" w:rsidP="00B21779">
      <w:pPr>
        <w:rPr>
          <w:rFonts w:ascii="Arial" w:hAnsi="Arial" w:cs="Arial"/>
          <w:sz w:val="24"/>
          <w:szCs w:val="24"/>
        </w:rPr>
      </w:pPr>
      <w:r>
        <w:rPr>
          <w:rFonts w:ascii="Arial" w:hAnsi="Arial"/>
          <w:sz w:val="24"/>
          <w:szCs w:val="24"/>
        </w:rPr>
        <w:t xml:space="preserve">Två viktiga utmaningar framkom tydligt ur materialet: ifrågasättandet av sakkunskapen och forskningen om rättigheterna från statsförvaltningens sida och i den offentliga debatten, samt nedskärningarna i forskningsfinansieringen. Samhällssituationen anses göra forskningen allt mer trängd och man befarar att det kan leda till en mindre mängd forskning och mer begränsade forskningsteman. </w:t>
      </w:r>
    </w:p>
    <w:p w:rsidR="00B21779" w:rsidRPr="00B21779" w:rsidRDefault="00B21779" w:rsidP="00B21779">
      <w:pPr>
        <w:rPr>
          <w:rFonts w:ascii="Arial" w:hAnsi="Arial" w:cs="Arial"/>
          <w:sz w:val="24"/>
          <w:szCs w:val="24"/>
        </w:rPr>
      </w:pPr>
      <w:r>
        <w:rPr>
          <w:rFonts w:ascii="Arial" w:hAnsi="Arial"/>
          <w:sz w:val="24"/>
          <w:szCs w:val="24"/>
        </w:rPr>
        <w:t xml:space="preserve">I stället för att enkelspårigt försvara sitt eget forskningsområde samt de grundläggande fri- och rättigheterna och de mänskliga rättigheterna uppmuntrades forskarna i materialet att djupare begrunda de orsaker till den förändrade stämningen, som inte kan kopplas enbart till </w:t>
      </w:r>
      <w:r>
        <w:rPr>
          <w:rFonts w:ascii="Arial" w:hAnsi="Arial"/>
          <w:sz w:val="24"/>
          <w:szCs w:val="24"/>
        </w:rPr>
        <w:lastRenderedPageBreak/>
        <w:t>ekonomiska frågor. Dessutom hoppades man på en debatt om hur det lönar sig att reagera på de förändrade förhållandena.</w:t>
      </w:r>
    </w:p>
    <w:p w:rsidR="00B21779" w:rsidRPr="00B21779" w:rsidRDefault="00B21779" w:rsidP="00B21779">
      <w:pPr>
        <w:rPr>
          <w:rFonts w:ascii="Arial" w:hAnsi="Arial" w:cs="Arial"/>
          <w:sz w:val="24"/>
          <w:szCs w:val="24"/>
        </w:rPr>
      </w:pPr>
      <w:r>
        <w:rPr>
          <w:rFonts w:ascii="Arial" w:hAnsi="Arial"/>
          <w:sz w:val="24"/>
          <w:szCs w:val="24"/>
        </w:rPr>
        <w:t xml:space="preserve">Man önskade att forskningsfältet vaknar upp till samhällssituationen och reagerar på den med olika aktiva åtgärder, såsom att delta i samhällsdebatten, förebygga polarisering i samhället, tänka mer strategiskt kring angående valet av forskningsteman och finansieringsansökningar samt stärka forskarsamfundet, först inifrån och därefter genom att använda forskningen som en kraft som bygger upp samhället. Man föreställde sig att de grundläggande fri- och rättigheterna och de mänskliga rättigheterna på det här sättet inte skulle ses av allmänheten och beslutsfattarna som ett hinder eller en fördröjande faktor för utvecklingen, utan att införandet av rättigheterna i bland annat samhällsreformer skulle upplevas som en positiv åtgärd som förebygger eventuella problem. </w:t>
      </w:r>
    </w:p>
    <w:p w:rsidR="00B21779" w:rsidRPr="00B21779" w:rsidRDefault="00B21779" w:rsidP="00B21779">
      <w:pPr>
        <w:rPr>
          <w:rFonts w:ascii="Arial" w:hAnsi="Arial" w:cs="Arial"/>
          <w:sz w:val="24"/>
          <w:szCs w:val="24"/>
        </w:rPr>
      </w:pPr>
      <w:r>
        <w:rPr>
          <w:rFonts w:ascii="Arial" w:hAnsi="Arial"/>
          <w:sz w:val="24"/>
          <w:szCs w:val="24"/>
        </w:rPr>
        <w:t xml:space="preserve">Information om dagens forskning samlades in med hjälp av utredningen. Den procentuella andelen av substansen som utgörs av forskning om de grundläggande fri- och rättigheterna och de mänskliga rättigheterna varierar kraftigt. Forskning med fokus på rättigheterna och forskning med annan huvudsaklig inriktning, som inkluderar en dimension av dessa rättigheter, förekommer i nästan lika stor utsträckning. Därför kan det inom den forskning som är relevant för de grundläggande fri- och rättigheterna och de mänskliga rättigheterna finnas personer som betraktar sig själva som forskare i de grundläggande fri- och rättigheterna och de mänskliga rättigheterna samt forskare som i viss mån identifierar sig med området, men också personer som huvudsakligen identifierar sig med andra forskningsområden. </w:t>
      </w:r>
    </w:p>
    <w:p w:rsidR="00B21779" w:rsidRPr="00B21779" w:rsidRDefault="00B21779" w:rsidP="00B21779">
      <w:pPr>
        <w:rPr>
          <w:rFonts w:ascii="Arial" w:hAnsi="Arial" w:cs="Arial"/>
          <w:sz w:val="24"/>
          <w:szCs w:val="24"/>
        </w:rPr>
      </w:pPr>
      <w:r>
        <w:rPr>
          <w:rFonts w:ascii="Arial" w:hAnsi="Arial"/>
          <w:sz w:val="24"/>
          <w:szCs w:val="24"/>
        </w:rPr>
        <w:t xml:space="preserve">Forskning om de grundläggande fri- och rättigheterna och de mänskliga rättigheterna bedrivs inom flera olika vetenskaps- och forskningsområden. Det dominerande vetenskapsområdet är samhällsvetenskaperna, där de mest populära exaktare vetenskapsområdena med tanke på forskningen om de grundläggande fri- och rättigheterna och de mänskliga rättigheterna efter juridik var samhälls- och socialpolitik/socialarbete, pedagogik, sociologi/demografi, sociala vetenskaper, historiska vetenskaper, språkvetenskaper samt kvinno- och könsforskning. Beaktansvärt är att forskningen om de grundläggande fri- och rättigheterna och de mänskliga rättigheterna genomsyrar alla vetenskapsområden, såsom humanistiska vetenskaper, medicin och hälsovetenskaper, naturvetenskaper, teknik samt lantbruks- och skogsvetenskap. </w:t>
      </w:r>
    </w:p>
    <w:p w:rsidR="00B21779" w:rsidRPr="00B21779" w:rsidRDefault="00B21779" w:rsidP="00B21779">
      <w:pPr>
        <w:rPr>
          <w:rFonts w:ascii="Arial" w:hAnsi="Arial" w:cs="Arial"/>
          <w:sz w:val="24"/>
          <w:szCs w:val="24"/>
        </w:rPr>
      </w:pPr>
      <w:r>
        <w:rPr>
          <w:rFonts w:ascii="Arial" w:hAnsi="Arial"/>
          <w:sz w:val="24"/>
          <w:szCs w:val="24"/>
        </w:rPr>
        <w:t xml:space="preserve">Forskning bedrivs framför allt vid universiteten och deras forskningsinstitutioner, men även av andra aktörer, såsom staten, forskningsanstalterna, statsrådet eller ministerierna, medborgarorganisationer och konsultfirmor samt självständiga forskare. De viktigaste aktörerna som bedriver forskning är Institutet för mänskliga rättigheter vid Åbo Akademi, Erik Castrén-institutet vid Helsingfors universitet och Institutet för nordisk miljö- och minoritetsrätt, som är beläget i Arktiska centret vid Lapplands universitet, samt de juridiska fakulteterna vid Åbo och Helsingfors universitet och Tammerfors universitet. Även andra universitet och yrkeshögskolor bedriver forskning om de grundläggande fri- och rättigheterna och de mänskliga rättigheterna. </w:t>
      </w:r>
    </w:p>
    <w:p w:rsidR="00B21779" w:rsidRPr="00B21779" w:rsidRDefault="00B21779" w:rsidP="00B21779">
      <w:pPr>
        <w:rPr>
          <w:rFonts w:ascii="Arial" w:hAnsi="Arial" w:cs="Arial"/>
          <w:sz w:val="24"/>
          <w:szCs w:val="24"/>
        </w:rPr>
      </w:pPr>
      <w:r>
        <w:rPr>
          <w:rFonts w:ascii="Arial" w:hAnsi="Arial"/>
          <w:sz w:val="24"/>
          <w:szCs w:val="24"/>
        </w:rPr>
        <w:t xml:space="preserve">Vid instituten för mänskliga rättigheter bedrivs forskning framför allt med fokus på internationell rätt och mänskliga rättigheter. Institutet för mänskliga rättigheter vid Åbo Akademi fokuserar sin forskning på den klassiska grundläggande fri- och rättigheterna och mänskliga rättigheterna, Erik Castrén-institutet bedriver teoretisk och kritisk forskning, medan Institutet för nordisk miljö- och minoritetsrätt forskar i just miljö- och minoritetsrätt. </w:t>
      </w:r>
    </w:p>
    <w:p w:rsidR="00B21779" w:rsidRPr="00B21779" w:rsidRDefault="00B21779" w:rsidP="00B21779">
      <w:pPr>
        <w:rPr>
          <w:rFonts w:ascii="Arial" w:hAnsi="Arial" w:cs="Arial"/>
          <w:sz w:val="24"/>
          <w:szCs w:val="24"/>
        </w:rPr>
      </w:pPr>
      <w:r>
        <w:rPr>
          <w:rFonts w:ascii="Arial" w:hAnsi="Arial"/>
          <w:sz w:val="24"/>
          <w:szCs w:val="24"/>
        </w:rPr>
        <w:t xml:space="preserve">De juridiska fakulteterna vid Åbo och Helsingfors universitet bedriver forskning om de grundläggande fri- och rättigheterna och de mänskliga rättigheterna särskilt inom författningsrätten, med betoning på de grundläggande fri- och rättigheterna. Vid Tammerfors </w:t>
      </w:r>
      <w:r>
        <w:rPr>
          <w:rFonts w:ascii="Arial" w:hAnsi="Arial"/>
          <w:sz w:val="24"/>
          <w:szCs w:val="24"/>
        </w:rPr>
        <w:lastRenderedPageBreak/>
        <w:t xml:space="preserve">universitet bedrivs dessutom forskning om de grundläggande fri- och rättigheterna och de mänskliga rättigheterna, vid ledningshögskolans avdelning för offentlig rätt speciellt om de grundläggande fri- och rättigheterna och Europakonventionen. </w:t>
      </w:r>
    </w:p>
    <w:p w:rsidR="00B21779" w:rsidRPr="00B21779" w:rsidRDefault="00B21779" w:rsidP="00B21779">
      <w:pPr>
        <w:rPr>
          <w:rFonts w:ascii="Arial" w:hAnsi="Arial" w:cs="Arial"/>
          <w:sz w:val="24"/>
          <w:szCs w:val="24"/>
        </w:rPr>
      </w:pPr>
      <w:r>
        <w:rPr>
          <w:rFonts w:ascii="Arial" w:hAnsi="Arial"/>
          <w:sz w:val="24"/>
          <w:szCs w:val="24"/>
        </w:rPr>
        <w:t xml:space="preserve">Utifrån utredningen kan man konstatera att forskningen består i nästan lika hög grad av frågor på nationell och internationell nivå. Innehållsmässigt verkar centrala teman i forskningen fortfarande till lika stora delar vara MP-rättigheter och ESK-rättigheter som grundar sig på traditionella internationella mänskliga rättigheter. </w:t>
      </w:r>
    </w:p>
    <w:p w:rsidR="00B21779" w:rsidRPr="00B21779" w:rsidRDefault="00B21779" w:rsidP="00B21779">
      <w:pPr>
        <w:rPr>
          <w:rFonts w:ascii="Arial" w:hAnsi="Arial" w:cs="Arial"/>
          <w:sz w:val="24"/>
          <w:szCs w:val="24"/>
        </w:rPr>
      </w:pPr>
      <w:r>
        <w:rPr>
          <w:rFonts w:ascii="Arial" w:hAnsi="Arial"/>
          <w:sz w:val="24"/>
          <w:szCs w:val="24"/>
        </w:rPr>
        <w:t>Forskarna bedriver forskning om de grundläggande fri- och rättigheterna och de mänskliga rättigheterna med mycket varierande teman. Dessa teman inkluderar traditionella forskningsteman, som på sitt sätt lägger grunden till forskningen, såsom de mänskliga rättigheternas historia, teori och begrepp samt utvecklingen av allmänna läror, enskilda grundläggande fri- och rättigheter och system för bevakning av rättigheterna och frågor med anknytning till medborgarna samt makt och politik i allmänhet. Man tog också upp olika gruppers rättigheter, språkliga och kulturella rättigheter, yttrandefrihet och andra kommunikativa rättigheter samt rättigheter med anknytning till säkerhet och bevakning, som blir forskningsteman framför allt tack vare webbvärlden och den nya teknologin. Forskning med anknytning till miljön, globaliseringen och företagsvärlden är också ett relativt nytt fenomen.</w:t>
      </w:r>
    </w:p>
    <w:p w:rsidR="00B21779" w:rsidRPr="00B21779" w:rsidRDefault="00B21779" w:rsidP="00B21779">
      <w:pPr>
        <w:rPr>
          <w:rFonts w:ascii="Arial" w:hAnsi="Arial" w:cs="Arial"/>
          <w:sz w:val="24"/>
          <w:szCs w:val="24"/>
        </w:rPr>
      </w:pPr>
      <w:r>
        <w:rPr>
          <w:rFonts w:ascii="Arial" w:hAnsi="Arial"/>
          <w:sz w:val="24"/>
          <w:szCs w:val="24"/>
        </w:rPr>
        <w:t xml:space="preserve">Forskningens framtida behov tolkade forskarna ur många olika perspektiv. Man framkastade att forskningen om de grundläggande fri- och rättigheterna och de mänskliga rättigheterna borde baseras på principer eller mer omfattande mål, som skulle styra forskningen i framtiden. Forskningen etik, tillförlitlighet och höga kvalitet togs upp. Forskningsteman borde ses som en del av de mänskliga rättigheternas historia och normer samt i en kontext av samhällsutmaningar med anknytning till aktuella, globala fenomen. Man önskade att forskningen ska vara övergripande, tvärvetenskaplig och mångsidig. Forskningsteman borde inte behandlas endast ur en kritisk synvinkel, utan ett forskningsområde ska också kunna utöva kritik internt. </w:t>
      </w:r>
    </w:p>
    <w:p w:rsidR="00B21779" w:rsidRPr="00B21779" w:rsidRDefault="00B21779" w:rsidP="00B21779">
      <w:pPr>
        <w:rPr>
          <w:rFonts w:ascii="Arial" w:hAnsi="Arial" w:cs="Arial"/>
          <w:sz w:val="24"/>
          <w:szCs w:val="24"/>
        </w:rPr>
      </w:pPr>
      <w:r>
        <w:rPr>
          <w:rFonts w:ascii="Arial" w:hAnsi="Arial"/>
          <w:sz w:val="24"/>
          <w:szCs w:val="24"/>
        </w:rPr>
        <w:t xml:space="preserve">Forskningens obundenhet, integritet och frihet togs upp som en viktig princip, i synnerhet i relation till samhälleligt och politiskt beslutsfattande. Enligt forskarna ska forskningen om de grundläggande fri- och rättigheterna och de mänskliga rättigheterna föra fram rättigheternas innehåll och förpliktelser, särskilt med tanke på att rättigheterna ursprungligen var avsedda att fungera som en måttstock för maktutövning och legitimitet. Man föreslog att ett mål borde vara att de grundläggande fri- och rättigheterna och de mänskliga rättigheterna prioriteras före andra normer samt rättigheternas genomslag. På allmän nivå fäste de sakkunniga också särskild uppmärksamhet vid stödet för det faktiska genomförandet av de mänskliga rättigheterna.  Man önskade också att forskarna skulle eftersträva en så vittgående samhällseffekt som möjligt. </w:t>
      </w:r>
    </w:p>
    <w:p w:rsidR="00B21779" w:rsidRPr="00B21779" w:rsidRDefault="00B21779" w:rsidP="00B21779">
      <w:pPr>
        <w:rPr>
          <w:rFonts w:ascii="Arial" w:hAnsi="Arial" w:cs="Arial"/>
          <w:sz w:val="24"/>
          <w:szCs w:val="24"/>
        </w:rPr>
      </w:pPr>
      <w:r>
        <w:rPr>
          <w:rFonts w:ascii="Arial" w:hAnsi="Arial"/>
          <w:sz w:val="24"/>
          <w:szCs w:val="24"/>
        </w:rPr>
        <w:t xml:space="preserve">Skalan av forskningsbehov som de sakkunniga lade fram i utredningen var vidsträckt. Forskningsbehoven motsvarade emellertid till stor del den nuvarande forskningens teman som behöver fortsatt forskning. Utifrån detta kan man sannolikt uppskatta att forskningen redan nu relativt väl täcker de forskningsteman som upplevs som viktiga i framtiden. Teman med anknytning till aktuella samhällsutmaningar fick särskild uppmärksamhet. Till dessa teman hörde sociala rättigheter bland annat med anknytning till den ekonomiska krisen, rättigheter som kommit fram på grund av migrations- och flyktingkrisen samt rättigheter som har samband med webbvärlden, digitaliseringen och den nya teknologin. Dessa fenomen ansågs kunna skapa problematiska situationer med tanke på de grundläggande fri- och rättigheterna </w:t>
      </w:r>
      <w:r>
        <w:rPr>
          <w:rFonts w:ascii="Arial" w:hAnsi="Arial"/>
          <w:sz w:val="24"/>
          <w:szCs w:val="24"/>
        </w:rPr>
        <w:lastRenderedPageBreak/>
        <w:t>och de mänskliga rättigheterna i framtiden, vilket forskarna borde föregripa genom att producera forskningsbaserad information.</w:t>
      </w:r>
    </w:p>
    <w:p w:rsidR="00B21779" w:rsidRPr="00B21779" w:rsidRDefault="00B21779" w:rsidP="00B21779">
      <w:pPr>
        <w:rPr>
          <w:rFonts w:ascii="Arial" w:hAnsi="Arial" w:cs="Arial"/>
          <w:sz w:val="24"/>
          <w:szCs w:val="24"/>
        </w:rPr>
      </w:pPr>
      <w:r>
        <w:rPr>
          <w:rFonts w:ascii="Arial" w:hAnsi="Arial"/>
          <w:sz w:val="24"/>
          <w:szCs w:val="24"/>
        </w:rPr>
        <w:t xml:space="preserve">De sakkunniga tog på många sätt ställning till hur forskningen kan främjas på ett aktivt och långsiktigt sätt. Värt att beakta angående forskarnas förslag till åtgärder var att många av dem handlade om att utveckla samarbetet. Utvecklingen av samarbetet fick starkt stöd bland forskarna. Även resursfördelningen betraktades som en viktig omständighet med tanke på forskningen. De ekonomiska resurserna, såsom universitetens basfinansiering och kompletterande forskningsfinansiering, som lägger grunden till såväl forskningen som annan relaterad verksamhet, är en förutsättning och ett livsvillkor för forskningen. I det hänseendet utgör forskningen om de grundläggande fri- och rättigheterna och de mänskliga rättigheterna inget undantag. </w:t>
      </w:r>
    </w:p>
    <w:p w:rsidR="00B21779" w:rsidRPr="00B21779" w:rsidRDefault="00B21779" w:rsidP="00B21779">
      <w:pPr>
        <w:rPr>
          <w:rFonts w:ascii="Arial" w:hAnsi="Arial" w:cs="Arial"/>
          <w:sz w:val="24"/>
          <w:szCs w:val="24"/>
        </w:rPr>
      </w:pPr>
      <w:r>
        <w:rPr>
          <w:rFonts w:ascii="Arial" w:hAnsi="Arial"/>
          <w:sz w:val="24"/>
          <w:szCs w:val="24"/>
        </w:rPr>
        <w:t xml:space="preserve">Konkreta åtgärdsförslag med anknytning till resurserna var bland annat att frysa sparåtgärderna som inriktats på forskningsfinansieringen, kanalisera extern finansiering till forskningen om de grundläggande fri- och rättigheterna och de mänskliga rättigheterna på ett effektivare sätt, påverka finansieringssystemen samt skapa stiftelser, forskningsprogram och riktade ansökningar för finansiering rättigheterna. Önskemål om resurser för ett riksomfattande doktorsprogram framfördes också. Dessutom föreslogs att finansieringsmöjligheter skulle utnyttjas med hjälp av forskningssamarbete över vetenskapsgränserna. </w:t>
      </w:r>
    </w:p>
    <w:p w:rsidR="00B21779" w:rsidRPr="00B21779" w:rsidRDefault="00B21779" w:rsidP="00B21779">
      <w:pPr>
        <w:rPr>
          <w:rFonts w:ascii="Arial" w:hAnsi="Arial" w:cs="Arial"/>
          <w:sz w:val="24"/>
          <w:szCs w:val="24"/>
        </w:rPr>
      </w:pPr>
      <w:r>
        <w:rPr>
          <w:rFonts w:ascii="Arial" w:hAnsi="Arial"/>
          <w:sz w:val="24"/>
          <w:szCs w:val="24"/>
        </w:rPr>
        <w:t xml:space="preserve">Systematiska strukturer som stöd för forskningen ansågs vara till fördel för forskningen på många sätt. På grund av de knappa ekonomiska resurserna måste man noggrant överväga hur forskningen kan utvecklas i framtiden. Man föreslog att den här utmaningen besvaras med allt mer effektiva strukturer som kan sammanföra forskare i de grundläggande fri- och rättigheterna och de mänskliga rättigheterna samt effektivisera samarbetet över vetenskapsområdenas gränser. Ett konkret förslag var att bygga upp ett riksomfattande nätverk för forskare i de grundläggande fri- och rättigheterna och de mänskliga rättigheterna. Enligt förslaget kunde nätverket ordna olika evenemang, såsom riksomfattande dagar för de grundläggande fri- och rättigheterna och de mänskliga rättigheterna, samarbete inom forskarutbildningen, mentorprogram, </w:t>
      </w:r>
      <w:proofErr w:type="spellStart"/>
      <w:r>
        <w:rPr>
          <w:rFonts w:ascii="Arial" w:hAnsi="Arial"/>
          <w:sz w:val="24"/>
          <w:szCs w:val="24"/>
        </w:rPr>
        <w:t>alumniverksamhet</w:t>
      </w:r>
      <w:proofErr w:type="spellEnd"/>
      <w:r>
        <w:rPr>
          <w:rFonts w:ascii="Arial" w:hAnsi="Arial"/>
          <w:sz w:val="24"/>
          <w:szCs w:val="24"/>
        </w:rPr>
        <w:t xml:space="preserve"> samt samarbete med personer som arbetar med frågor kring de grundläggande fri- och rättigheterna och de mänskliga rättigheterna. Nätverket kunde dessutom användas till att sprida forskningsrön genom att koncentrera informationsförmedlingen samt skapa olika forum för diskussion och informationsutbyte, tvärvetenskapliga </w:t>
      </w:r>
      <w:proofErr w:type="spellStart"/>
      <w:r>
        <w:rPr>
          <w:rFonts w:ascii="Arial" w:hAnsi="Arial"/>
          <w:sz w:val="24"/>
          <w:szCs w:val="24"/>
        </w:rPr>
        <w:t>publikationsforum</w:t>
      </w:r>
      <w:proofErr w:type="spellEnd"/>
      <w:r>
        <w:rPr>
          <w:rFonts w:ascii="Arial" w:hAnsi="Arial"/>
          <w:sz w:val="24"/>
          <w:szCs w:val="24"/>
        </w:rPr>
        <w:t xml:space="preserve"> samt databaser med uppgifter om forskare och forskning. </w:t>
      </w:r>
    </w:p>
    <w:p w:rsidR="00B21779" w:rsidRPr="00B21779" w:rsidRDefault="00B21779" w:rsidP="00B21779">
      <w:pPr>
        <w:rPr>
          <w:rFonts w:ascii="Arial" w:hAnsi="Arial" w:cs="Arial"/>
          <w:sz w:val="24"/>
          <w:szCs w:val="24"/>
        </w:rPr>
      </w:pPr>
      <w:r>
        <w:rPr>
          <w:rFonts w:ascii="Arial" w:hAnsi="Arial"/>
          <w:sz w:val="24"/>
          <w:szCs w:val="24"/>
        </w:rPr>
        <w:t xml:space="preserve">Fostran och utbildning i de mänskliga rättigheterna betraktades också som en viktig del av främjandet av forskningen på lång sikt. Önskemål framfördes om att stärka fostran och utbildningen på alla utbildningsnivåer. Fostran och utbildning efterlystes också för den stora allmänheten på olika språk, bland annat på internet. </w:t>
      </w:r>
    </w:p>
    <w:p w:rsidR="00B21779" w:rsidRPr="00B21779" w:rsidRDefault="00B21779" w:rsidP="00B21779">
      <w:pPr>
        <w:rPr>
          <w:rFonts w:ascii="Arial" w:hAnsi="Arial" w:cs="Arial"/>
          <w:sz w:val="24"/>
          <w:szCs w:val="24"/>
        </w:rPr>
      </w:pPr>
      <w:r>
        <w:rPr>
          <w:rFonts w:ascii="Arial" w:hAnsi="Arial"/>
          <w:sz w:val="24"/>
          <w:szCs w:val="24"/>
        </w:rPr>
        <w:t xml:space="preserve">Utveckling av Människorättscentrets arbete för att gynna forskningen betraktades som en konkret åtgärd som främjar forskningen om de grundläggande fri- och rättigheterna och de mänskliga rättigheterna. De sakkunniga föreslog att centret borde ha en klar och tydlig roll som forskningsfrämjare och att det skulle fungera som en extra resurs och som samordningsstöd för aktörer som bedriver forskning. Dessutom önskade man att Människorättscentret skulle få resurser för att utveckla sin egen forskning. Människorättscentrets åtgärder för att främja fostran och utbildning i de mänskliga rättigheterna fick gediget stöd bland forskarna.  </w:t>
      </w:r>
    </w:p>
    <w:p w:rsidR="00B21779" w:rsidRPr="00B21779" w:rsidRDefault="00B21779" w:rsidP="00B21779">
      <w:pPr>
        <w:rPr>
          <w:rFonts w:ascii="Arial" w:hAnsi="Arial" w:cs="Arial"/>
          <w:sz w:val="24"/>
          <w:szCs w:val="24"/>
        </w:rPr>
      </w:pPr>
      <w:r>
        <w:rPr>
          <w:rFonts w:ascii="Arial" w:hAnsi="Arial"/>
          <w:sz w:val="24"/>
          <w:szCs w:val="24"/>
        </w:rPr>
        <w:lastRenderedPageBreak/>
        <w:t xml:space="preserve">Ett genomgående tema i utredningen var det tvärvetenskapliga samarbetet, som ansågs ha särskild betydelse med tanke på främjandet av forskningen om de grundläggande fri- och rättigheterna och de mänskliga rättigheterna i framtiden. Enligt uppskattningarna av forskningens nuläge bedrivs jämförelsevis lite tvärvetenskaplig forskning inom forskningen om de grundläggande fri- och rättigheterna och de mänskliga rättigheterna, med tanke på att den är mycket naturlig för den forskning om de grundläggande fri- och rättigheterna och de mänskliga rättigheterna som förekommer inom olika vetenskapsområden. Samarbetet mellan vetenskaperna betraktades också i allmänhet som relativt svagt, och med anledning av det gav forskarna utvecklingen av tvärvetenskapliga samarbetsformer sitt stöd. </w:t>
      </w:r>
    </w:p>
    <w:p w:rsidR="00B21779" w:rsidRPr="00B21779" w:rsidRDefault="00B21779" w:rsidP="00B21779">
      <w:pPr>
        <w:rPr>
          <w:rFonts w:ascii="Arial" w:hAnsi="Arial" w:cs="Arial"/>
          <w:sz w:val="24"/>
          <w:szCs w:val="24"/>
        </w:rPr>
      </w:pPr>
      <w:r>
        <w:rPr>
          <w:rFonts w:ascii="Arial" w:hAnsi="Arial"/>
          <w:sz w:val="24"/>
          <w:szCs w:val="24"/>
        </w:rPr>
        <w:t>Tvärvetenskaplig forskning nämndes också i samband med viktiga principer och mål för forskningen. Den ansågs berika alla parter som deltar i forskningen och utveckla forskarnas tankeprocess, eftersom fenomen betraktas ur olika perspektiv. Då får man en fördjupad insikt i det omgivande samhället och i globala fenomen, som kräver tvärvetenskapliga svar.</w:t>
      </w:r>
    </w:p>
    <w:p w:rsidR="00B21779" w:rsidRPr="00B21779" w:rsidRDefault="00B21779" w:rsidP="00B21779">
      <w:pPr>
        <w:rPr>
          <w:rFonts w:ascii="Arial" w:hAnsi="Arial" w:cs="Arial"/>
          <w:sz w:val="24"/>
          <w:szCs w:val="24"/>
        </w:rPr>
      </w:pPr>
      <w:r>
        <w:rPr>
          <w:rFonts w:ascii="Arial" w:hAnsi="Arial"/>
          <w:sz w:val="24"/>
          <w:szCs w:val="24"/>
        </w:rPr>
        <w:t>Konkreta åtgärder som stöder tvärvetenskaplighet är en intern attitydförändring inom ett forskningsområde gentemot tvärvetenskaplighet, aktivt främjande av fördelarna med tvärvetenskaplig forskning och användning av ett språk som kan förstås inom olika vetenskapsområden. Tvärvetenskapliga nätverk och evenemang som ordnats av dessa, finansieringsansökningar, forskningsgrupper och -projekt samt bokprojekt spelar en viktig roll i den här uppgiften. Därtill önskade man att utbildning i de mänskliga rättigheterna ordnas över vetenskapsområdenas gränser så att utbildningen i sig är tvärvetenskaplig.</w:t>
      </w:r>
    </w:p>
    <w:p w:rsidR="000E4224" w:rsidRPr="00BB7901" w:rsidRDefault="000E4224">
      <w:pPr>
        <w:rPr>
          <w:rFonts w:ascii="Arial" w:hAnsi="Arial" w:cs="Arial"/>
          <w:sz w:val="24"/>
          <w:szCs w:val="24"/>
        </w:rPr>
      </w:pPr>
    </w:p>
    <w:sectPr w:rsidR="000E4224" w:rsidRPr="00BB7901" w:rsidSect="00BB7901">
      <w:pgSz w:w="11906" w:h="16838"/>
      <w:pgMar w:top="851" w:right="567" w:bottom="113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779"/>
    <w:rsid w:val="000E4224"/>
    <w:rsid w:val="00384B66"/>
    <w:rsid w:val="00B21779"/>
    <w:rsid w:val="00BB7901"/>
    <w:rsid w:val="00F333B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51F5B"/>
  <w15:chartTrackingRefBased/>
  <w15:docId w15:val="{8DCAD3B5-FFC7-4214-8F2B-C23D08E24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E88FDDF4FF6749958D96E1316079D6" ma:contentTypeVersion="0" ma:contentTypeDescription="Create a new document." ma:contentTypeScope="" ma:versionID="187ec2d77b612978baa7de9e2420cfe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566771C-A224-438C-BE0B-6C1B9ABACF87}">
  <ds:schemaRefs>
    <ds:schemaRef ds:uri="http://schemas.microsoft.com/sharepoint/v3/contenttype/forms"/>
  </ds:schemaRefs>
</ds:datastoreItem>
</file>

<file path=customXml/itemProps2.xml><?xml version="1.0" encoding="utf-8"?>
<ds:datastoreItem xmlns:ds="http://schemas.openxmlformats.org/officeDocument/2006/customXml" ds:itemID="{D23CF823-15C0-4CC7-90C0-25235EA2C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AEDCE01-D33E-4E0C-9917-A2096364D8D2}">
  <ds:schemaRefs>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1839</Words>
  <Characters>14896</Characters>
  <Application>Microsoft Office Word</Application>
  <DocSecurity>0</DocSecurity>
  <Lines>124</Lines>
  <Paragraphs>33</Paragraphs>
  <ScaleCrop>false</ScaleCrop>
  <HeadingPairs>
    <vt:vector size="2" baseType="variant">
      <vt:variant>
        <vt:lpstr>Otsikko</vt:lpstr>
      </vt:variant>
      <vt:variant>
        <vt:i4>1</vt:i4>
      </vt:variant>
    </vt:vector>
  </HeadingPairs>
  <TitlesOfParts>
    <vt:vector size="1" baseType="lpstr">
      <vt:lpstr/>
    </vt:vector>
  </TitlesOfParts>
  <Company>Eduskunta</Company>
  <LinksUpToDate>false</LinksUpToDate>
  <CharactersWithSpaces>16702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Kouros Kristiina</dc:creator>
  <cp:keywords/>
  <dc:description/>
  <cp:lastModifiedBy>Kouros Kristiina</cp:lastModifiedBy>
  <cp:revision>3</cp:revision>
  <dcterms:created xsi:type="dcterms:W3CDTF">2017-09-15T05:55:00Z</dcterms:created>
  <dcterms:modified xsi:type="dcterms:W3CDTF">2017-09-15T05:56:00Z</dcterms:modified>
</cp:coreProperties>
</file>