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5C677" w14:textId="6398B2B8" w:rsidR="00AF5178" w:rsidRPr="00554A9B" w:rsidRDefault="004F20D3" w:rsidP="00AF5178">
      <w:pPr>
        <w:rPr>
          <w:b/>
        </w:rPr>
      </w:pPr>
      <w:r>
        <w:rPr>
          <w:b/>
        </w:rPr>
        <w:t xml:space="preserve">AKTUELLA PROJEKT VID MÄNNISKORÄTTSCENTRET, slutet av 2020 </w:t>
      </w:r>
    </w:p>
    <w:p w14:paraId="339758DF" w14:textId="77777777" w:rsidR="000E2872" w:rsidRPr="00554A9B" w:rsidRDefault="000E2872" w:rsidP="007E3494">
      <w:pPr>
        <w:rPr>
          <w:b/>
        </w:rPr>
      </w:pPr>
    </w:p>
    <w:sdt>
      <w:sdtPr>
        <w:rPr>
          <w:rFonts w:asciiTheme="minorHAnsi" w:eastAsiaTheme="minorHAnsi" w:hAnsiTheme="minorHAnsi" w:cstheme="minorBidi"/>
          <w:color w:val="auto"/>
          <w:sz w:val="22"/>
          <w:szCs w:val="22"/>
          <w:lang w:eastAsia="en-US"/>
        </w:rPr>
        <w:id w:val="-1922791260"/>
        <w:docPartObj>
          <w:docPartGallery w:val="Table of Contents"/>
          <w:docPartUnique/>
        </w:docPartObj>
      </w:sdtPr>
      <w:sdtEndPr>
        <w:rPr>
          <w:b/>
          <w:bCs/>
          <w:highlight w:val="yellow"/>
        </w:rPr>
      </w:sdtEndPr>
      <w:sdtContent>
        <w:p w14:paraId="42D56A57" w14:textId="6DE3AB9C" w:rsidR="00C272F0" w:rsidRPr="00554A9B" w:rsidRDefault="00C272F0">
          <w:pPr>
            <w:pStyle w:val="Sisllysluettelonotsikko"/>
            <w:rPr>
              <w:b/>
              <w:bCs/>
              <w:color w:val="auto"/>
              <w:sz w:val="22"/>
              <w:szCs w:val="22"/>
            </w:rPr>
          </w:pPr>
          <w:r>
            <w:rPr>
              <w:b/>
              <w:color w:val="auto"/>
              <w:sz w:val="22"/>
            </w:rPr>
            <w:t>Innehåll</w:t>
          </w:r>
        </w:p>
        <w:p w14:paraId="77A8E2C6" w14:textId="2C50417D" w:rsidR="00514D19" w:rsidRDefault="00C272F0">
          <w:pPr>
            <w:pStyle w:val="Sisluet1"/>
            <w:tabs>
              <w:tab w:val="right" w:leader="dot" w:pos="10025"/>
            </w:tabs>
            <w:rPr>
              <w:rFonts w:eastAsiaTheme="minorEastAsia"/>
              <w:noProof/>
              <w:lang w:val="en-US"/>
            </w:rPr>
          </w:pPr>
          <w:r w:rsidRPr="000B30AC">
            <w:rPr>
              <w:highlight w:val="yellow"/>
            </w:rPr>
            <w:fldChar w:fldCharType="begin"/>
          </w:r>
          <w:r w:rsidRPr="000B30AC">
            <w:rPr>
              <w:highlight w:val="yellow"/>
            </w:rPr>
            <w:instrText xml:space="preserve"> TOC \o "1-3" \h \z \u </w:instrText>
          </w:r>
          <w:r w:rsidRPr="000B30AC">
            <w:rPr>
              <w:highlight w:val="yellow"/>
            </w:rPr>
            <w:fldChar w:fldCharType="separate"/>
          </w:r>
          <w:hyperlink w:anchor="_Toc62117102" w:history="1">
            <w:r w:rsidR="00514D19" w:rsidRPr="00257C23">
              <w:rPr>
                <w:rStyle w:val="Hyperlinkki"/>
                <w:noProof/>
              </w:rPr>
              <w:t>1 FRÄMJANDE AV DE GRUNDLÄGGANDE OCH MÄNSKLIGA RÄTTIGHETERNA</w:t>
            </w:r>
            <w:r w:rsidR="00514D19">
              <w:rPr>
                <w:noProof/>
                <w:webHidden/>
              </w:rPr>
              <w:tab/>
            </w:r>
            <w:r w:rsidR="00514D19">
              <w:rPr>
                <w:noProof/>
                <w:webHidden/>
              </w:rPr>
              <w:fldChar w:fldCharType="begin"/>
            </w:r>
            <w:r w:rsidR="00514D19">
              <w:rPr>
                <w:noProof/>
                <w:webHidden/>
              </w:rPr>
              <w:instrText xml:space="preserve"> PAGEREF _Toc62117102 \h </w:instrText>
            </w:r>
            <w:r w:rsidR="00514D19">
              <w:rPr>
                <w:noProof/>
                <w:webHidden/>
              </w:rPr>
            </w:r>
            <w:r w:rsidR="00514D19">
              <w:rPr>
                <w:noProof/>
                <w:webHidden/>
              </w:rPr>
              <w:fldChar w:fldCharType="separate"/>
            </w:r>
            <w:r w:rsidR="00514D19">
              <w:rPr>
                <w:noProof/>
                <w:webHidden/>
              </w:rPr>
              <w:t>1</w:t>
            </w:r>
            <w:r w:rsidR="00514D19">
              <w:rPr>
                <w:noProof/>
                <w:webHidden/>
              </w:rPr>
              <w:fldChar w:fldCharType="end"/>
            </w:r>
          </w:hyperlink>
        </w:p>
        <w:p w14:paraId="2510CB74" w14:textId="7793CBA9" w:rsidR="00514D19" w:rsidRDefault="007E485E">
          <w:pPr>
            <w:pStyle w:val="Sisluet1"/>
            <w:tabs>
              <w:tab w:val="right" w:leader="dot" w:pos="10025"/>
            </w:tabs>
            <w:rPr>
              <w:rFonts w:eastAsiaTheme="minorEastAsia"/>
              <w:noProof/>
              <w:lang w:val="en-US"/>
            </w:rPr>
          </w:pPr>
          <w:hyperlink w:anchor="_Toc62117103" w:history="1">
            <w:r w:rsidR="00514D19" w:rsidRPr="00257C23">
              <w:rPr>
                <w:rStyle w:val="Hyperlinkki"/>
                <w:noProof/>
              </w:rPr>
              <w:t>2 UPPFÖLJNING AV DE GRUNDLÄGGANDE OCH MÄNSKLIGA RÄTTIGHETERNA</w:t>
            </w:r>
            <w:r w:rsidR="00514D19">
              <w:rPr>
                <w:noProof/>
                <w:webHidden/>
              </w:rPr>
              <w:tab/>
            </w:r>
            <w:r w:rsidR="00514D19">
              <w:rPr>
                <w:noProof/>
                <w:webHidden/>
              </w:rPr>
              <w:fldChar w:fldCharType="begin"/>
            </w:r>
            <w:r w:rsidR="00514D19">
              <w:rPr>
                <w:noProof/>
                <w:webHidden/>
              </w:rPr>
              <w:instrText xml:space="preserve"> PAGEREF _Toc62117103 \h </w:instrText>
            </w:r>
            <w:r w:rsidR="00514D19">
              <w:rPr>
                <w:noProof/>
                <w:webHidden/>
              </w:rPr>
            </w:r>
            <w:r w:rsidR="00514D19">
              <w:rPr>
                <w:noProof/>
                <w:webHidden/>
              </w:rPr>
              <w:fldChar w:fldCharType="separate"/>
            </w:r>
            <w:r w:rsidR="00514D19">
              <w:rPr>
                <w:noProof/>
                <w:webHidden/>
              </w:rPr>
              <w:t>3</w:t>
            </w:r>
            <w:r w:rsidR="00514D19">
              <w:rPr>
                <w:noProof/>
                <w:webHidden/>
              </w:rPr>
              <w:fldChar w:fldCharType="end"/>
            </w:r>
          </w:hyperlink>
        </w:p>
        <w:p w14:paraId="1059EEFF" w14:textId="237C271C" w:rsidR="00514D19" w:rsidRDefault="007E485E">
          <w:pPr>
            <w:pStyle w:val="Sisluet1"/>
            <w:tabs>
              <w:tab w:val="right" w:leader="dot" w:pos="10025"/>
            </w:tabs>
            <w:rPr>
              <w:rFonts w:eastAsiaTheme="minorEastAsia"/>
              <w:noProof/>
              <w:lang w:val="en-US"/>
            </w:rPr>
          </w:pPr>
          <w:hyperlink w:anchor="_Toc62117104" w:history="1">
            <w:r w:rsidR="00514D19" w:rsidRPr="00257C23">
              <w:rPr>
                <w:rStyle w:val="Hyperlinkki"/>
                <w:noProof/>
              </w:rPr>
              <w:t>3 INTERNATIONELLT SAMARBETE</w:t>
            </w:r>
            <w:r w:rsidR="00514D19">
              <w:rPr>
                <w:noProof/>
                <w:webHidden/>
              </w:rPr>
              <w:tab/>
            </w:r>
            <w:r w:rsidR="00514D19">
              <w:rPr>
                <w:noProof/>
                <w:webHidden/>
              </w:rPr>
              <w:fldChar w:fldCharType="begin"/>
            </w:r>
            <w:r w:rsidR="00514D19">
              <w:rPr>
                <w:noProof/>
                <w:webHidden/>
              </w:rPr>
              <w:instrText xml:space="preserve"> PAGEREF _Toc62117104 \h </w:instrText>
            </w:r>
            <w:r w:rsidR="00514D19">
              <w:rPr>
                <w:noProof/>
                <w:webHidden/>
              </w:rPr>
            </w:r>
            <w:r w:rsidR="00514D19">
              <w:rPr>
                <w:noProof/>
                <w:webHidden/>
              </w:rPr>
              <w:fldChar w:fldCharType="separate"/>
            </w:r>
            <w:r w:rsidR="00514D19">
              <w:rPr>
                <w:noProof/>
                <w:webHidden/>
              </w:rPr>
              <w:t>5</w:t>
            </w:r>
            <w:r w:rsidR="00514D19">
              <w:rPr>
                <w:noProof/>
                <w:webHidden/>
              </w:rPr>
              <w:fldChar w:fldCharType="end"/>
            </w:r>
          </w:hyperlink>
        </w:p>
        <w:p w14:paraId="71198F0A" w14:textId="397925B8" w:rsidR="00B344DE" w:rsidRPr="000B30AC" w:rsidRDefault="00C272F0" w:rsidP="007E3494">
          <w:pPr>
            <w:rPr>
              <w:highlight w:val="yellow"/>
            </w:rPr>
          </w:pPr>
          <w:r w:rsidRPr="000B30AC">
            <w:rPr>
              <w:b/>
              <w:highlight w:val="yellow"/>
            </w:rPr>
            <w:fldChar w:fldCharType="end"/>
          </w:r>
        </w:p>
      </w:sdtContent>
    </w:sdt>
    <w:p w14:paraId="480F88B3" w14:textId="04609BF2" w:rsidR="0054695A" w:rsidRPr="00554A9B" w:rsidRDefault="00C328CE" w:rsidP="000C5283">
      <w:pPr>
        <w:pStyle w:val="Otsikko1"/>
        <w:rPr>
          <w:rFonts w:asciiTheme="minorHAnsi" w:hAnsiTheme="minorHAnsi" w:cstheme="minorHAnsi"/>
          <w:b w:val="0"/>
          <w:bCs w:val="0"/>
          <w:sz w:val="22"/>
          <w:szCs w:val="22"/>
        </w:rPr>
      </w:pPr>
      <w:bookmarkStart w:id="0" w:name="_Toc62117102"/>
      <w:r>
        <w:rPr>
          <w:rFonts w:asciiTheme="minorHAnsi" w:hAnsiTheme="minorHAnsi"/>
          <w:b w:val="0"/>
          <w:sz w:val="22"/>
        </w:rPr>
        <w:t>1 FRÄMJANDE AV DE GRUNDLÄGGANDE OCH MÄNSKLIGA RÄTTIGHETERNA</w:t>
      </w:r>
      <w:bookmarkEnd w:id="0"/>
    </w:p>
    <w:p w14:paraId="766D5B5E" w14:textId="1E179EFE" w:rsidR="007C2415" w:rsidRPr="007B388A" w:rsidRDefault="007C2415" w:rsidP="007C2415">
      <w:pPr>
        <w:rPr>
          <w:b/>
        </w:rPr>
      </w:pPr>
      <w:r>
        <w:rPr>
          <w:b/>
        </w:rPr>
        <w:t>Handlingsplanen för de grundläggande och mänskliga rättigheterna och redogörelsen om de mänskliga rättigheterna</w:t>
      </w:r>
    </w:p>
    <w:p w14:paraId="5C5714F1" w14:textId="65D693FC" w:rsidR="007C2415" w:rsidRPr="007B388A" w:rsidRDefault="007C2415" w:rsidP="007C2415">
      <w:r>
        <w:t xml:space="preserve">Statsrådets nätverk av kontaktpersoner för de grundläggande och mänskliga rättigheterna fortsätter beredningen av den nationella handlingsplanen för de grundläggande och mänskliga rättigheterna (2020–2023). Människorättscentret deltar i nätverket i sakkunnigroll och i nätverkets underarbetsgrupp för att utveckla indikatorer, uppföljning och kunskapsunderlag. Vid sidan av detta arbete fortsätter Människorättscentret att utveckla sitt eget uppföljningsarbete. Arbetsgruppen har för avsikt att lägga fram sitt förslag i början av 2021. </w:t>
      </w:r>
    </w:p>
    <w:p w14:paraId="13CB3BB1" w14:textId="3423043B" w:rsidR="007C2415" w:rsidRPr="007B388A" w:rsidRDefault="007E485E" w:rsidP="007C2415">
      <w:hyperlink r:id="rId11" w:history="1">
        <w:r w:rsidR="00B6410A">
          <w:rPr>
            <w:rStyle w:val="Hyperlinkki"/>
          </w:rPr>
          <w:t>Information om handlingsplanen för de grundläggande och mänskliga rättigheterna på JM:s webbplats</w:t>
        </w:r>
      </w:hyperlink>
    </w:p>
    <w:p w14:paraId="76BDBC7B" w14:textId="02587864" w:rsidR="007C2415" w:rsidRPr="000D0E2F" w:rsidRDefault="007C2415" w:rsidP="007C2415">
      <w:r>
        <w:t xml:space="preserve">Under ledning av utrikesministeriet utarbetas statsrådets redogörelse om de mänskliga rättigheterna (2021), som drar upp riktlinjer för statsrådets verksamhet i frågor som berör de grundläggande och mänskliga rättigheterna på nationell, EU- och internationell nivå. Redogörelsen torde överlämnas till riksdagen under våren. </w:t>
      </w:r>
    </w:p>
    <w:p w14:paraId="67F4A9F3" w14:textId="3E661E9B" w:rsidR="007C2415" w:rsidRPr="000D0E2F" w:rsidRDefault="007E485E" w:rsidP="007C2415">
      <w:pPr>
        <w:spacing w:after="0"/>
        <w:rPr>
          <w:rStyle w:val="Hyperlinkki"/>
          <w:color w:val="auto"/>
        </w:rPr>
      </w:pPr>
      <w:hyperlink r:id="rId12" w:history="1">
        <w:r w:rsidR="00B6410A">
          <w:rPr>
            <w:rStyle w:val="Hyperlinkki"/>
          </w:rPr>
          <w:t>Föregående redogörelse om de mänskliga rättigheterna (2014)</w:t>
        </w:r>
      </w:hyperlink>
      <w:r w:rsidR="00B6410A">
        <w:t xml:space="preserve"> </w:t>
      </w:r>
    </w:p>
    <w:p w14:paraId="3028C571" w14:textId="6EB0EB9C" w:rsidR="007C2415" w:rsidRPr="000D0E2F" w:rsidRDefault="007E485E" w:rsidP="007C2415">
      <w:pPr>
        <w:spacing w:after="0"/>
      </w:pPr>
      <w:hyperlink r:id="rId13" w:history="1">
        <w:r w:rsidR="00B6410A">
          <w:rPr>
            <w:rStyle w:val="Hyperlinkki"/>
          </w:rPr>
          <w:t>Utrikesminister Haavistos tal vid hörandet den 10.9</w:t>
        </w:r>
      </w:hyperlink>
      <w:r w:rsidR="00B6410A">
        <w:rPr>
          <w:rStyle w:val="Hyperlinkki"/>
          <w:color w:val="auto"/>
        </w:rPr>
        <w:t xml:space="preserve"> </w:t>
      </w:r>
    </w:p>
    <w:p w14:paraId="17B0D879" w14:textId="77777777" w:rsidR="007C2415" w:rsidRPr="000B30AC" w:rsidRDefault="007C2415" w:rsidP="007E3494">
      <w:pPr>
        <w:rPr>
          <w:b/>
          <w:highlight w:val="yellow"/>
        </w:rPr>
      </w:pPr>
    </w:p>
    <w:p w14:paraId="149BEE5F" w14:textId="2616B7A5" w:rsidR="0094449E" w:rsidRPr="000F6F22" w:rsidRDefault="0094449E" w:rsidP="0094449E">
      <w:pPr>
        <w:rPr>
          <w:b/>
        </w:rPr>
      </w:pPr>
      <w:bookmarkStart w:id="1" w:name="_Hlk58844483"/>
      <w:r>
        <w:rPr>
          <w:b/>
        </w:rPr>
        <w:t>Främjande av människorättsfostran och -utbildning i lärarutbildningen</w:t>
      </w:r>
    </w:p>
    <w:p w14:paraId="265DB6A1" w14:textId="7810ADBB" w:rsidR="00C12CC9" w:rsidRDefault="00C12CC9" w:rsidP="00C12CC9">
      <w:pPr>
        <w:pStyle w:val="xmsonormal"/>
        <w:shd w:val="clear" w:color="auto" w:fill="FFFFFF"/>
        <w:rPr>
          <w:color w:val="201F1E"/>
          <w:shd w:val="clear" w:color="auto" w:fill="FFFFFF"/>
        </w:rPr>
      </w:pPr>
      <w:r>
        <w:rPr>
          <w:color w:val="201F1E"/>
          <w:shd w:val="clear" w:color="auto" w:fill="FFFFFF"/>
        </w:rPr>
        <w:t xml:space="preserve">Projektet som finansieras av Människorättscentret och justitieministeriet stöder särskilt utvecklingen av demokrati- och människorättsfostran i lärarutbildningen. Projektet fortsätter vid Helsingfors universitet fram till 31.7.2021. </w:t>
      </w:r>
      <w:r>
        <w:rPr>
          <w:shd w:val="clear" w:color="auto" w:fill="FFFFFF"/>
        </w:rPr>
        <w:t>M</w:t>
      </w:r>
      <w:r>
        <w:rPr>
          <w:color w:val="201F1E"/>
          <w:shd w:val="clear" w:color="auto" w:fill="FFFFFF"/>
        </w:rPr>
        <w:t>ålgruppen är yrkespersoner inom utbildningsområdet, lärare och lärarstuderande.</w:t>
      </w:r>
      <w:r>
        <w:t xml:space="preserve"> UKM:s specialunderstöd har ansökts för tre år för projektets fortsättning.</w:t>
      </w:r>
    </w:p>
    <w:p w14:paraId="08A27939" w14:textId="77777777" w:rsidR="00C12CC9" w:rsidRDefault="00C12CC9" w:rsidP="00C12CC9">
      <w:pPr>
        <w:pStyle w:val="xmsonormal"/>
        <w:shd w:val="clear" w:color="auto" w:fill="FFFFFF"/>
        <w:rPr>
          <w:color w:val="201F1E"/>
          <w:shd w:val="clear" w:color="auto" w:fill="FFFFFF"/>
        </w:rPr>
      </w:pPr>
    </w:p>
    <w:p w14:paraId="5C171B92" w14:textId="785E0FAE" w:rsidR="00C12CC9" w:rsidRPr="00C12CC9" w:rsidRDefault="00C12CC9" w:rsidP="00C12CC9">
      <w:pPr>
        <w:pStyle w:val="xmsonormal"/>
        <w:shd w:val="clear" w:color="auto" w:fill="FFFFFF"/>
        <w:rPr>
          <w:rFonts w:eastAsia="Times New Roman"/>
        </w:rPr>
      </w:pPr>
      <w:r>
        <w:rPr>
          <w:color w:val="201F1E"/>
          <w:shd w:val="clear" w:color="auto" w:fill="FFFFFF"/>
        </w:rPr>
        <w:t>Som en del av detta samprojekt utarbetar Människorättscentret under hösten utbildningsmaterial om lika rätt för personer med funktionsnedsättning till utbildning. Målet med utbildningsmaterialet är att öka målgruppens kännedom om konventionen om rättigheter för personer med funktionsnedsättning, den rättsliga grunden för inkluderande undervisning och att klargöra vad inkluderande undervisning innebär. Projektet stärker det pedagogiska angreppssättet i centrets utbildningsarbete och material.</w:t>
      </w:r>
      <w:r>
        <w:rPr>
          <w:color w:val="201F1E"/>
          <w:shd w:val="clear" w:color="auto" w:fill="FFFFFF"/>
        </w:rPr>
        <w:br/>
      </w:r>
      <w:r>
        <w:rPr>
          <w:color w:val="201F1E"/>
          <w:shd w:val="clear" w:color="auto" w:fill="FFFFFF"/>
        </w:rPr>
        <w:br/>
      </w:r>
      <w:r>
        <w:t>En inledande plan för människorättsutbildning som gäller ursprungsfolk har utarbetats i samarbete med sametinget. Utbildningsteman är 1. förstärkning av kunskapsbasen om ursprungsbefolkningen (vad betyder ursprungsbefolkning och självbestämmanderätt?), 2. Språkliga och kulturella mänskliga rättigheter, 3. Klimatförändringen &amp; samerna samt 4. Ordet till lärare och fostrare (utifrån utredningen) + politiskt inflytande.</w:t>
      </w:r>
    </w:p>
    <w:p w14:paraId="0275542C" w14:textId="77777777" w:rsidR="00C12CC9" w:rsidRDefault="00C12CC9" w:rsidP="00C12CC9">
      <w:pPr>
        <w:pStyle w:val="xmsonormal"/>
        <w:shd w:val="clear" w:color="auto" w:fill="FFFFFF"/>
        <w:rPr>
          <w:rFonts w:eastAsia="Times New Roman"/>
        </w:rPr>
      </w:pPr>
    </w:p>
    <w:p w14:paraId="19A60E0D" w14:textId="72F52C66" w:rsidR="00C12CC9" w:rsidRDefault="00C12CC9" w:rsidP="00C12CC9">
      <w:pPr>
        <w:pStyle w:val="xmsonormal"/>
        <w:shd w:val="clear" w:color="auto" w:fill="FFFFFF"/>
        <w:rPr>
          <w:rFonts w:eastAsia="Times New Roman"/>
        </w:rPr>
      </w:pPr>
      <w:r>
        <w:t xml:space="preserve">Under 2021 startar det treåriga forskningsprojektet ”Demokratisk fostran och politisk polarisering under tidsperioden för globala kriser” (på finska), som finansieras av Konestiftelsen, vid Helsingfors universitet. Ett av dess delprojekt är människorättsfostran. </w:t>
      </w:r>
    </w:p>
    <w:p w14:paraId="48B38E5B" w14:textId="77777777" w:rsidR="00C12CC9" w:rsidRDefault="00C12CC9" w:rsidP="00C12CC9">
      <w:pPr>
        <w:pStyle w:val="xmsonormal"/>
        <w:shd w:val="clear" w:color="auto" w:fill="FFFFFF"/>
        <w:rPr>
          <w:rFonts w:eastAsia="Times New Roman"/>
        </w:rPr>
      </w:pPr>
    </w:p>
    <w:p w14:paraId="6FA21C0C" w14:textId="59D08490" w:rsidR="00872DD7" w:rsidRDefault="00C12CC9" w:rsidP="00872DD7">
      <w:pPr>
        <w:pStyle w:val="xmsonormal"/>
        <w:shd w:val="clear" w:color="auto" w:fill="FFFFFF"/>
        <w:rPr>
          <w:rFonts w:eastAsia="Times New Roman"/>
        </w:rPr>
      </w:pPr>
      <w:r>
        <w:t xml:space="preserve">Utöver nationellt och internationellt samarbete har ett seminarium av högskolenätverket för demokrati- och människorättsfostran planerats för våren 2021, och eventuellt också ett öppet seminarium om de färska forskningsresultaten och synpunkterna. Dessutom är en artikel om människorättsfostrans implementeringsutmaningar och lärarstuderandes synpunkter på kommande.  </w:t>
      </w:r>
    </w:p>
    <w:p w14:paraId="2F7A5B2F" w14:textId="77777777" w:rsidR="00872DD7" w:rsidRDefault="00872DD7" w:rsidP="00872DD7">
      <w:pPr>
        <w:pStyle w:val="xmsonormal"/>
        <w:shd w:val="clear" w:color="auto" w:fill="FFFFFF"/>
        <w:rPr>
          <w:rFonts w:eastAsia="Times New Roman"/>
        </w:rPr>
      </w:pPr>
    </w:p>
    <w:p w14:paraId="28D5E65F" w14:textId="144BAE92" w:rsidR="0094449E" w:rsidRPr="000F6F22" w:rsidRDefault="007E485E" w:rsidP="0094449E">
      <w:hyperlink r:id="rId14" w:history="1">
        <w:r w:rsidR="00B6410A">
          <w:rPr>
            <w:rStyle w:val="Hyperlinkki"/>
          </w:rPr>
          <w:t>Projektets webbplats</w:t>
        </w:r>
      </w:hyperlink>
      <w:r w:rsidR="00B6410A">
        <w:t xml:space="preserve"> </w:t>
      </w:r>
    </w:p>
    <w:p w14:paraId="30F3A1CE" w14:textId="3674C3EC" w:rsidR="0094449E" w:rsidRPr="000F6F22" w:rsidRDefault="007E485E" w:rsidP="0094449E">
      <w:pPr>
        <w:rPr>
          <w:b/>
          <w:bCs/>
        </w:rPr>
      </w:pPr>
      <w:hyperlink r:id="rId15" w:history="1">
        <w:r w:rsidR="00B6410A">
          <w:rPr>
            <w:rStyle w:val="Hyperlinkki"/>
          </w:rPr>
          <w:t>Människorättsfostran- och utbildning på Människorättscentrets webbplats</w:t>
        </w:r>
      </w:hyperlink>
    </w:p>
    <w:bookmarkEnd w:id="1"/>
    <w:p w14:paraId="0A6A94D3" w14:textId="388D0702" w:rsidR="00872DD7" w:rsidRDefault="00872DD7" w:rsidP="00872DD7">
      <w:r>
        <w:rPr>
          <w:rFonts w:eastAsia="Times New Roman"/>
        </w:rPr>
        <w:fldChar w:fldCharType="begin"/>
      </w:r>
      <w:r w:rsidRPr="00514D19">
        <w:rPr>
          <w:rFonts w:eastAsia="Times New Roman"/>
          <w:lang w:val="fi-FI"/>
        </w:rPr>
        <w:instrText xml:space="preserve"> HYPERLINK "https://julkaisut.valtioneuvosto.fi/handle/10024/162566)" </w:instrText>
      </w:r>
      <w:r>
        <w:rPr>
          <w:rFonts w:eastAsia="Times New Roman"/>
        </w:rPr>
        <w:fldChar w:fldCharType="separate"/>
      </w:r>
      <w:r w:rsidRPr="00514D19">
        <w:rPr>
          <w:rStyle w:val="Hyperlinkki"/>
          <w:lang w:val="fi-FI"/>
        </w:rPr>
        <w:t xml:space="preserve">Saamelaistietoa vai puuttuvaa tietoa saamelaisista? </w:t>
      </w:r>
      <w:r>
        <w:rPr>
          <w:rStyle w:val="Hyperlinkki"/>
        </w:rPr>
        <w:t>(Miettunen 2020)</w:t>
      </w:r>
      <w:r>
        <w:rPr>
          <w:rFonts w:eastAsia="Times New Roman"/>
        </w:rPr>
        <w:fldChar w:fldCharType="end"/>
      </w:r>
      <w:r>
        <w:t xml:space="preserve"> </w:t>
      </w:r>
    </w:p>
    <w:p w14:paraId="42A4039D" w14:textId="77777777" w:rsidR="00E06E2E" w:rsidRPr="000B30AC" w:rsidRDefault="00E06E2E" w:rsidP="007C2415">
      <w:pPr>
        <w:rPr>
          <w:highlight w:val="yellow"/>
        </w:rPr>
      </w:pPr>
    </w:p>
    <w:p w14:paraId="580D302B" w14:textId="1D78E98A" w:rsidR="007C2415" w:rsidRPr="000F6F22" w:rsidRDefault="007C2415" w:rsidP="007C2415">
      <w:pPr>
        <w:rPr>
          <w:b/>
          <w:bCs/>
        </w:rPr>
      </w:pPr>
      <w:r>
        <w:rPr>
          <w:b/>
        </w:rPr>
        <w:t>Projektet för grundläggande och mänskliga rättigheter inom boendeservice</w:t>
      </w:r>
    </w:p>
    <w:p w14:paraId="4AA93341" w14:textId="77777777" w:rsidR="000F6F22" w:rsidRDefault="007C2415" w:rsidP="007C2415">
      <w:r>
        <w:t xml:space="preserve">Människorättscentret har tillsammans med riksdagens justitieombudsmans funktionsnedsättningsgrupp genomfört ett samprojekt vars mål är att stödja i synnerhet ledningen och personalen vid boendeserviceenheter för personer med utvecklingsstörning att stärka klienternas självbestämmanderätt. Ett självutvärderingsverktyg som styr boendeenheternas verksamhet har utarbetats i projektet. </w:t>
      </w:r>
    </w:p>
    <w:p w14:paraId="7BF3243D" w14:textId="06185E21" w:rsidR="000F6F22" w:rsidRPr="000F6F22" w:rsidRDefault="000F6F22" w:rsidP="00342B27">
      <w:r>
        <w:t>Verktyget har under den sista kommenteringsrundan varit i fem boendeserviceenheter för personer med utvecklingsstörning. Verktyget omarbetas fortfarande till vissa delar utifrån de erhållna kommentarerna och publiceras i början av nästa år.  </w:t>
      </w:r>
    </w:p>
    <w:p w14:paraId="1D32E8B1" w14:textId="77777777" w:rsidR="00575F8F" w:rsidRPr="00575F8F" w:rsidRDefault="00575F8F" w:rsidP="00575F8F">
      <w:pPr>
        <w:rPr>
          <w:b/>
        </w:rPr>
      </w:pPr>
      <w:r>
        <w:rPr>
          <w:b/>
        </w:rPr>
        <w:t>Utbildningsprojektet De äldres självbestämmanderätt inom omsorgstjänsterna</w:t>
      </w:r>
    </w:p>
    <w:p w14:paraId="451591BC" w14:textId="77777777" w:rsidR="00575F8F" w:rsidRPr="00575F8F" w:rsidRDefault="00575F8F" w:rsidP="00575F8F">
      <w:pPr>
        <w:rPr>
          <w:bCs/>
        </w:rPr>
      </w:pPr>
      <w:r>
        <w:t>Människorättscentret har också inlett ett annat projekt för att stärka tillgodoseendet av självbestämmanderätten.  I samarbete med Valvira och Regionförvaltningsverket i Södra Finland genomförs ett pilotprojekt vars syfte är att främja äldre klienters självbestämmanderätt och tillgodoseendet av de grundläggande och mänskliga rättigheterna inom boendeservice med heldygnsomsorg. Projektet genomförs i samarbete med producenterna av effektiverat serviceboende. Genomförandet sker genom att utbilda personalen, cheferna och ansvariga läkarna vid de enheter som väljs ut för projektet. Avsikten är att utbildningsmaterial som färdigställs i och med projektet i fortsättningen ska utnyttjas i större utsträckning även vid andra boendeserviceenheter.</w:t>
      </w:r>
    </w:p>
    <w:p w14:paraId="6784C56B" w14:textId="77777777" w:rsidR="00575F8F" w:rsidRPr="00575F8F" w:rsidRDefault="00575F8F" w:rsidP="00575F8F">
      <w:pPr>
        <w:rPr>
          <w:bCs/>
        </w:rPr>
      </w:pPr>
      <w:r>
        <w:t>Projektet inleddes i höst med en enkät som riktas till personal, chefer och ansvariga läkare på enheterna som deltar i pilotprojektet. Med enkäten kartläggs personalens synpunkter och kompetens i frågor som gäller de grundläggande och mänskliga rättigheterna och den används som grund för det framtida utbildningsmaterialet.</w:t>
      </w:r>
    </w:p>
    <w:p w14:paraId="6B9677D4" w14:textId="77777777" w:rsidR="00575F8F" w:rsidRPr="00575F8F" w:rsidRDefault="00575F8F" w:rsidP="00575F8F">
      <w:pPr>
        <w:rPr>
          <w:bCs/>
        </w:rPr>
      </w:pPr>
      <w:r>
        <w:t>Utöver utbildningsmaterialet utarbetas utifrån enkäten en rapport som ska användas som stöd i påverkningsarbetet.</w:t>
      </w:r>
    </w:p>
    <w:p w14:paraId="067FF7AE" w14:textId="77777777" w:rsidR="00575F8F" w:rsidRPr="00575F8F" w:rsidRDefault="00575F8F" w:rsidP="00575F8F">
      <w:pPr>
        <w:rPr>
          <w:bCs/>
        </w:rPr>
      </w:pPr>
    </w:p>
    <w:p w14:paraId="764D84D5" w14:textId="77777777" w:rsidR="00575F8F" w:rsidRPr="00575F8F" w:rsidRDefault="00575F8F" w:rsidP="00575F8F">
      <w:pPr>
        <w:rPr>
          <w:b/>
        </w:rPr>
      </w:pPr>
      <w:r>
        <w:rPr>
          <w:b/>
        </w:rPr>
        <w:t>Utredning av äldrerådens påverkningsmöjligheter</w:t>
      </w:r>
    </w:p>
    <w:p w14:paraId="16EDC92E" w14:textId="77777777" w:rsidR="00575F8F" w:rsidRPr="00575F8F" w:rsidRDefault="00575F8F" w:rsidP="00575F8F">
      <w:pPr>
        <w:rPr>
          <w:bCs/>
        </w:rPr>
      </w:pPr>
      <w:r>
        <w:t>Människorättscentrets mål är att stärka det rättsliga perspektivet i verksamheten och beslutsfattandet som gäller äldre personer samt även mer omfattande när det gäller attityder. Äldreråden bör ha en central roll i frågor som gäller bland annat äldre personers välmående, hälsa, delaktighet och boende. Tryggandet av äldrerådens delaktighets- och påverkningsmöjligheter är därför särskilt viktigt.</w:t>
      </w:r>
    </w:p>
    <w:p w14:paraId="3B4BAF78" w14:textId="77777777" w:rsidR="00575F8F" w:rsidRPr="00575F8F" w:rsidRDefault="00575F8F" w:rsidP="00575F8F">
      <w:pPr>
        <w:rPr>
          <w:bCs/>
        </w:rPr>
      </w:pPr>
      <w:r>
        <w:t xml:space="preserve">Människorättscentret har under hösten 2020 påbörjat en utredning som kartlägger rådens goda praxis och eventuella utmaningar. Som underlag för utredningen har alla äldreråd skickats en enkät som utreder varje råds förfaranden och förutsättningarna för dess verksamhet. Målet med enkäten är att granska hurdan god praxis </w:t>
      </w:r>
      <w:r>
        <w:lastRenderedPageBreak/>
        <w:t>det vore bra att flytta från en kommun till en annan och hur rådens arbete och ställning kan stödjas i fortsättningen. En rapport om enkätens resultat publiceras på våren 2021.</w:t>
      </w:r>
    </w:p>
    <w:p w14:paraId="7BA730EF" w14:textId="77274DAA" w:rsidR="007C2415" w:rsidRPr="000B30AC" w:rsidRDefault="007C2415" w:rsidP="00342B27">
      <w:pPr>
        <w:rPr>
          <w:highlight w:val="yellow"/>
        </w:rPr>
      </w:pPr>
    </w:p>
    <w:p w14:paraId="2F3E4280" w14:textId="5EAD59BE" w:rsidR="00E06E2E" w:rsidRPr="00073B37" w:rsidRDefault="00E06E2E" w:rsidP="00E06E2E">
      <w:pPr>
        <w:spacing w:after="0"/>
        <w:rPr>
          <w:b/>
        </w:rPr>
      </w:pPr>
      <w:r>
        <w:rPr>
          <w:b/>
        </w:rPr>
        <w:t>COVID-19-fotoutställning och diskussionstillfälle – skjuts upp till våren</w:t>
      </w:r>
    </w:p>
    <w:p w14:paraId="0289F0E3" w14:textId="77777777" w:rsidR="00E06E2E" w:rsidRPr="00073B37" w:rsidRDefault="00E06E2E" w:rsidP="00E06E2E">
      <w:pPr>
        <w:spacing w:after="0"/>
        <w:rPr>
          <w:b/>
        </w:rPr>
      </w:pPr>
    </w:p>
    <w:p w14:paraId="00EAD36A" w14:textId="1B8F545A" w:rsidR="00E06E2E" w:rsidRPr="00073B37" w:rsidRDefault="00E06E2E" w:rsidP="00E06E2E">
      <w:pPr>
        <w:rPr>
          <w:shd w:val="clear" w:color="auto" w:fill="FFFFFF"/>
        </w:rPr>
      </w:pPr>
      <w:r>
        <w:rPr>
          <w:shd w:val="clear" w:color="auto" w:fill="FFFFFF"/>
        </w:rPr>
        <w:t>Människorättscentret ordnar en COVID-19-fotoutställning i Tempelplatsens kyrka och senare i församlingarnas utrymme i Tripa-köpcentret under mars–april. Fotografierna är en del av utställningskonceptet Katso Ihminen av fotokonstnären Johanna Kare. Vid invigningen av utställningen ordnas en diskussion om psykisk hälsa som leds av utställningens beskyddare Pekka Sauri. Tillfället kan också följas via webben.</w:t>
      </w:r>
    </w:p>
    <w:p w14:paraId="4BBD3DA9" w14:textId="15529C24" w:rsidR="00E06E2E" w:rsidRPr="00073B37" w:rsidRDefault="007E485E" w:rsidP="00E06E2E">
      <w:pPr>
        <w:rPr>
          <w:shd w:val="clear" w:color="auto" w:fill="FFFFFF"/>
        </w:rPr>
      </w:pPr>
      <w:hyperlink r:id="rId16" w:history="1">
        <w:r w:rsidR="00B6410A">
          <w:rPr>
            <w:rStyle w:val="Hyperlinkki"/>
            <w:shd w:val="clear" w:color="auto" w:fill="FFFFFF"/>
          </w:rPr>
          <w:t>Fotograf Johanna Kares webbplats</w:t>
        </w:r>
      </w:hyperlink>
    </w:p>
    <w:p w14:paraId="39DB5AFC" w14:textId="7A884AD0" w:rsidR="00E06E2E" w:rsidRPr="000B30AC" w:rsidRDefault="00E06E2E" w:rsidP="00342B27">
      <w:pPr>
        <w:rPr>
          <w:highlight w:val="yellow"/>
        </w:rPr>
      </w:pPr>
    </w:p>
    <w:p w14:paraId="03052266" w14:textId="5E73F0D4" w:rsidR="00B8486C" w:rsidRPr="00554A9B" w:rsidRDefault="00C328CE" w:rsidP="000C5283">
      <w:pPr>
        <w:pStyle w:val="Otsikko1"/>
        <w:rPr>
          <w:rFonts w:asciiTheme="minorHAnsi" w:hAnsiTheme="minorHAnsi" w:cstheme="minorHAnsi"/>
          <w:b w:val="0"/>
          <w:bCs w:val="0"/>
          <w:sz w:val="22"/>
          <w:szCs w:val="22"/>
        </w:rPr>
      </w:pPr>
      <w:bookmarkStart w:id="2" w:name="_Toc62117103"/>
      <w:r>
        <w:rPr>
          <w:rFonts w:asciiTheme="minorHAnsi" w:hAnsiTheme="minorHAnsi"/>
          <w:b w:val="0"/>
          <w:sz w:val="22"/>
        </w:rPr>
        <w:t>2 UPPFÖLJNING AV DE GRUNDLÄGGANDE OCH MÄNSKLIGA RÄTTIGHETERNA</w:t>
      </w:r>
      <w:bookmarkEnd w:id="2"/>
    </w:p>
    <w:p w14:paraId="62673904" w14:textId="4F2E959D" w:rsidR="00342B27" w:rsidRPr="000F6F22" w:rsidRDefault="00342B27" w:rsidP="00342B27">
      <w:pPr>
        <w:rPr>
          <w:b/>
          <w:bCs/>
        </w:rPr>
      </w:pPr>
      <w:r>
        <w:rPr>
          <w:b/>
        </w:rPr>
        <w:t>Barometern för grundläggande rättigheter</w:t>
      </w:r>
    </w:p>
    <w:p w14:paraId="70EACBDA" w14:textId="1DD7F4DA" w:rsidR="00342B27" w:rsidRPr="000F6F22" w:rsidRDefault="00342B27" w:rsidP="00342B27">
      <w:r>
        <w:rPr>
          <w:color w:val="000000"/>
          <w:shd w:val="clear" w:color="auto" w:fill="FFFFFF"/>
        </w:rPr>
        <w:t xml:space="preserve">Människorättscentret håller som bäst på att färdigställa en nationell barometer för grundläggande rättigheter i samarbete med justitieministeriet. Syftet med barometern </w:t>
      </w:r>
      <w:r>
        <w:t xml:space="preserve">är att utreda vilka erfarenheter personer med funktionsnedsättning och olika språkminoriteter </w:t>
      </w:r>
      <w:r>
        <w:rPr>
          <w:color w:val="000000"/>
          <w:shd w:val="clear" w:color="auto" w:fill="FFFFFF"/>
        </w:rPr>
        <w:t xml:space="preserve">(svenska, ryska och arabiska) </w:t>
      </w:r>
      <w:r>
        <w:t xml:space="preserve">har av de grundläggande rättigheterna. Enkätens resultat publiceras i början av 2021. Människorättscentret publicerar dessutom två korta sammandragsrapporter om undersökningens resultat. Temat för den ena rapporten är personer med funktionsnedsättning och funktionshinder, och temat för den andra är mer allmän juridisk medvetenhet. Barometern för grundläggande rättigheter har utarbetats parallellt med EU:s byrå för grundläggande rättigheter Fundamental Rights Survey och i enlighet med dess metodologi och frågor. Surveyn gjordes i alla EU-länder och en del av dess resultat har redan publicerats. Undersökningen är en del av verkställandet av den nationella handlingsplanen för grundläggande och mänskliga rättigheter. </w:t>
      </w:r>
    </w:p>
    <w:p w14:paraId="7DB08C39" w14:textId="1D3CBE56" w:rsidR="000A0ED3" w:rsidRPr="000F6F22" w:rsidRDefault="007E485E" w:rsidP="00342B27">
      <w:hyperlink r:id="rId17" w:history="1">
        <w:r w:rsidR="00B6410A">
          <w:rPr>
            <w:rStyle w:val="Hyperlinkki"/>
          </w:rPr>
          <w:t>Om projektet Barometern för grundläggande rättigheter på JM:s webbplats</w:t>
        </w:r>
      </w:hyperlink>
    </w:p>
    <w:p w14:paraId="6B3227C8" w14:textId="77777777" w:rsidR="00297C93" w:rsidRDefault="00297C93" w:rsidP="00297C93">
      <w:pPr>
        <w:rPr>
          <w:rFonts w:cstheme="minorHAnsi"/>
          <w:b/>
          <w:bCs/>
        </w:rPr>
      </w:pPr>
    </w:p>
    <w:p w14:paraId="0CEADD51" w14:textId="685DA28F" w:rsidR="00297C93" w:rsidRPr="000A1027" w:rsidRDefault="00297C93" w:rsidP="00297C93">
      <w:pPr>
        <w:rPr>
          <w:rFonts w:cstheme="minorHAnsi"/>
          <w:b/>
          <w:bCs/>
        </w:rPr>
      </w:pPr>
      <w:r>
        <w:rPr>
          <w:b/>
        </w:rPr>
        <w:t>I OITIS-projektet undersöks äldre personers rättsliga problem och tillgång till sina rättigheter</w:t>
      </w:r>
    </w:p>
    <w:p w14:paraId="29393170" w14:textId="36C17ECF" w:rsidR="00297C93" w:rsidRDefault="00297C93" w:rsidP="00297C93">
      <w:pPr>
        <w:rPr>
          <w:rFonts w:cstheme="minorHAnsi"/>
          <w:spacing w:val="3"/>
        </w:rPr>
      </w:pPr>
      <w:r>
        <w:t xml:space="preserve">I december inleddes projektet </w:t>
      </w:r>
      <w:r>
        <w:rPr>
          <w:i/>
        </w:rPr>
        <w:t xml:space="preserve">Oikeutta ikäihmisille! – tarinoita ikääntyvästä Suomesta </w:t>
      </w:r>
      <w:r>
        <w:t xml:space="preserve"> (OITIS) som kartlägger hurdana rättsliga problem äldre personer (över 65 år) har och om de har fått lösningar på sina problem. Under forskningens första skede samlar man in fritt formulerade berättelser om äldre personers upplevelser av rättsliga problem och möjligheten att få rättslig service. Meddelandet om skrivbegäran har publicerats på finska, svenska, enaresamiska, skoltsamiska, nordsamiska och romani. I projektet deltar Institutet för kriminologi och rättspolitik vid Helsingfors universitet, Institutet för välfärdsrätt vid Östra Finlands universitet, Tammerfors universitet och Människorättscentret. Projektet leds av docent Kaijus Ervasti.</w:t>
      </w:r>
    </w:p>
    <w:p w14:paraId="122A5455" w14:textId="3E5EB7FE" w:rsidR="00297C93" w:rsidRDefault="007E485E" w:rsidP="00297C93">
      <w:pPr>
        <w:rPr>
          <w:rFonts w:cstheme="minorHAnsi"/>
          <w:spacing w:val="3"/>
        </w:rPr>
      </w:pPr>
      <w:hyperlink r:id="rId18" w:history="1">
        <w:r w:rsidR="00B6410A">
          <w:rPr>
            <w:rStyle w:val="Hyperlinkki"/>
          </w:rPr>
          <w:t>Mer information om OITIS-projektet</w:t>
        </w:r>
      </w:hyperlink>
    </w:p>
    <w:p w14:paraId="7CF1EEA8" w14:textId="52C56171" w:rsidR="00297C93" w:rsidRDefault="007E485E" w:rsidP="00297C93">
      <w:pPr>
        <w:rPr>
          <w:rFonts w:cstheme="minorHAnsi"/>
          <w:spacing w:val="3"/>
        </w:rPr>
      </w:pPr>
      <w:hyperlink r:id="rId19" w:history="1">
        <w:r w:rsidR="00B6410A">
          <w:rPr>
            <w:rStyle w:val="Hyperlinkki"/>
          </w:rPr>
          <w:t>Meddelande om skrivbegäran</w:t>
        </w:r>
      </w:hyperlink>
    </w:p>
    <w:p w14:paraId="32CCF0BD" w14:textId="77F69261" w:rsidR="00342B27" w:rsidRPr="000B30AC" w:rsidRDefault="00342B27" w:rsidP="0094449E">
      <w:pPr>
        <w:rPr>
          <w:highlight w:val="yellow"/>
        </w:rPr>
      </w:pPr>
    </w:p>
    <w:p w14:paraId="31C0546B" w14:textId="4C4A1D09" w:rsidR="00342B27" w:rsidRPr="009D6005" w:rsidRDefault="00342B27" w:rsidP="00342B27">
      <w:pPr>
        <w:rPr>
          <w:b/>
          <w:shd w:val="clear" w:color="auto" w:fill="FFFFFF"/>
        </w:rPr>
      </w:pPr>
      <w:r>
        <w:rPr>
          <w:b/>
          <w:shd w:val="clear" w:color="auto" w:fill="FFFFFF"/>
        </w:rPr>
        <w:t>Publiceringstillfället för SIHTI-projektets rapport hålls 26.1.2021</w:t>
      </w:r>
    </w:p>
    <w:p w14:paraId="3A735DF2" w14:textId="2E00CA48" w:rsidR="00342B27" w:rsidRPr="009D6005" w:rsidRDefault="00342B27" w:rsidP="00342B27">
      <w:pPr>
        <w:rPr>
          <w:shd w:val="clear" w:color="auto" w:fill="FFFFFF"/>
        </w:rPr>
      </w:pPr>
      <w:r>
        <w:rPr>
          <w:shd w:val="clear" w:color="auto" w:fill="FFFFFF"/>
        </w:rPr>
        <w:t>SIHTI-projektet, som utvärderar ansvaret för de mänskliga rättigheterna i finska företag, ligger på slutrakan, och forskningsresultaten publiceras under ett webbinarium som hålls den 26 januari kl. 9–11.</w:t>
      </w:r>
    </w:p>
    <w:p w14:paraId="76E7D4EB" w14:textId="77777777" w:rsidR="00342B27" w:rsidRPr="009D6005" w:rsidRDefault="00342B27" w:rsidP="00342B27">
      <w:pPr>
        <w:rPr>
          <w:shd w:val="clear" w:color="auto" w:fill="FFFFFF"/>
        </w:rPr>
      </w:pPr>
      <w:r>
        <w:rPr>
          <w:shd w:val="clear" w:color="auto" w:fill="FFFFFF"/>
        </w:rPr>
        <w:lastRenderedPageBreak/>
        <w:t xml:space="preserve">Människorättscentret deltar i SIHTI-forskningsprojektet som inleddes i maj och vars mål är att bedöma hur ansvaret för de mänskliga rättigheterna förverkligas i finländska företag, dvs. hur de har verkställt </w:t>
      </w:r>
      <w:r>
        <w:rPr>
          <w:bdr w:val="none" w:sz="0" w:space="0" w:color="auto" w:frame="1"/>
          <w:shd w:val="clear" w:color="auto" w:fill="FFFFFF"/>
        </w:rPr>
        <w:t>FN:s principer som styr företag och mänskliga rättigheter</w:t>
      </w:r>
      <w:r>
        <w:rPr>
          <w:shd w:val="clear" w:color="auto" w:fill="FFFFFF"/>
        </w:rPr>
        <w:t xml:space="preserve">. Cirka 80 finländska företag deltar i granskningen. SIHTI är ett </w:t>
      </w:r>
      <w:r>
        <w:rPr>
          <w:bdr w:val="none" w:sz="0" w:space="0" w:color="auto" w:frame="1"/>
          <w:shd w:val="clear" w:color="auto" w:fill="FFFFFF"/>
        </w:rPr>
        <w:t>projekt</w:t>
      </w:r>
      <w:r>
        <w:rPr>
          <w:shd w:val="clear" w:color="auto" w:fill="FFFFFF"/>
        </w:rPr>
        <w:t xml:space="preserve"> som lyder under utrednings- och forskningsverksamheten vid statsrådets kansli. I projektets konsortium ingår förutom Människorättscentret även Hankens och Helsingfors universitets gemensamma forsknings- och utvecklingsinstitut för företagsansvar (huvudansvarig instans), FIANT Consulting Oy och 3bility Consulting.</w:t>
      </w:r>
    </w:p>
    <w:p w14:paraId="36E02A91" w14:textId="74A014FF" w:rsidR="00342B27" w:rsidRPr="009D6005" w:rsidRDefault="007E485E" w:rsidP="00342B27">
      <w:pPr>
        <w:rPr>
          <w:color w:val="FF0000"/>
          <w:shd w:val="clear" w:color="auto" w:fill="FFFFFF"/>
        </w:rPr>
      </w:pPr>
      <w:hyperlink r:id="rId20" w:history="1">
        <w:r w:rsidR="00B6410A">
          <w:rPr>
            <w:rStyle w:val="Hyperlinkki"/>
            <w:shd w:val="clear" w:color="auto" w:fill="FFFFFF"/>
          </w:rPr>
          <w:t>SIHTI-projektets webbplats</w:t>
        </w:r>
      </w:hyperlink>
      <w:r w:rsidR="00B6410A">
        <w:rPr>
          <w:color w:val="FF0000"/>
          <w:shd w:val="clear" w:color="auto" w:fill="FFFFFF"/>
        </w:rPr>
        <w:t xml:space="preserve"> </w:t>
      </w:r>
    </w:p>
    <w:p w14:paraId="0D8D5A41" w14:textId="77777777" w:rsidR="000A1027" w:rsidRPr="000A1027" w:rsidRDefault="000A1027" w:rsidP="000A1027">
      <w:pPr>
        <w:rPr>
          <w:rFonts w:cstheme="minorHAnsi"/>
          <w:spacing w:val="3"/>
        </w:rPr>
      </w:pPr>
    </w:p>
    <w:p w14:paraId="16FE4EC7" w14:textId="726E84C7" w:rsidR="00D658E3" w:rsidRPr="000D0E2F" w:rsidRDefault="00C917EE" w:rsidP="000B2A13">
      <w:pPr>
        <w:rPr>
          <w:rFonts w:ascii="Segoe UI" w:hAnsi="Segoe UI" w:cs="Segoe UI"/>
          <w:b/>
          <w:bCs/>
          <w:sz w:val="21"/>
          <w:szCs w:val="21"/>
        </w:rPr>
      </w:pPr>
      <w:r>
        <w:rPr>
          <w:b/>
        </w:rPr>
        <w:t xml:space="preserve">Utredning om konsekvenserna av FN:s människorättskonventioner i olika länder </w:t>
      </w:r>
    </w:p>
    <w:p w14:paraId="3520E30A" w14:textId="661F5EE0" w:rsidR="00D658E3" w:rsidRPr="00B6410A" w:rsidRDefault="00D658E3" w:rsidP="000B2A13">
      <w:pPr>
        <w:rPr>
          <w:rFonts w:ascii="Segoe UI" w:hAnsi="Segoe UI" w:cs="Segoe UI"/>
          <w:sz w:val="21"/>
          <w:szCs w:val="21"/>
        </w:rPr>
      </w:pPr>
      <w:r>
        <w:t>År 2001 publicerade Christof Heyns och Frans Viljoen från universitetet i Pretoria en rapport om de nationella effekterna av FN:s människorättskonventioner och övervakningsorgan i 20 av FN:s medlemsländer (inkl. Finland). Nu utarbetas en uppdaterad version av publikationen. Utredningen publiceras i början av 2021.</w:t>
      </w:r>
    </w:p>
    <w:p w14:paraId="49B2B9B2" w14:textId="3C52833B" w:rsidR="00D658E3" w:rsidRPr="00514D19" w:rsidRDefault="007E485E" w:rsidP="000B2A13">
      <w:pPr>
        <w:pStyle w:val="NormaaliWWW"/>
        <w:spacing w:after="165" w:afterAutospacing="0"/>
        <w:rPr>
          <w:rFonts w:asciiTheme="minorHAnsi" w:hAnsiTheme="minorHAnsi" w:cstheme="minorHAnsi"/>
          <w:sz w:val="22"/>
          <w:szCs w:val="22"/>
          <w:lang w:val="en-US"/>
        </w:rPr>
      </w:pPr>
      <w:hyperlink r:id="rId21" w:history="1">
        <w:r w:rsidR="00B6410A" w:rsidRPr="00514D19">
          <w:rPr>
            <w:rStyle w:val="Hyperlinkki"/>
            <w:rFonts w:asciiTheme="minorHAnsi" w:hAnsiTheme="minorHAnsi"/>
            <w:sz w:val="22"/>
            <w:szCs w:val="22"/>
            <w:lang w:val="en-US"/>
          </w:rPr>
          <w:t>Projektets webbplats</w:t>
        </w:r>
      </w:hyperlink>
    </w:p>
    <w:p w14:paraId="688AAAF1" w14:textId="44814D5E" w:rsidR="00D658E3" w:rsidRPr="00514D19" w:rsidRDefault="007E485E" w:rsidP="00FB267A">
      <w:pPr>
        <w:rPr>
          <w:lang w:val="en-US"/>
        </w:rPr>
      </w:pPr>
      <w:hyperlink r:id="rId22" w:history="1">
        <w:r w:rsidR="00B6410A" w:rsidRPr="00514D19">
          <w:rPr>
            <w:rStyle w:val="Hyperlinkki"/>
            <w:lang w:val="en-US"/>
          </w:rPr>
          <w:t>Heyns and Viljoen The impact of the United Nations human rights treaty system on the domestic level (Kluwer, 2001)</w:t>
        </w:r>
      </w:hyperlink>
    </w:p>
    <w:p w14:paraId="4E8C99CF" w14:textId="2414E318" w:rsidR="00B344DE" w:rsidRDefault="00B344DE" w:rsidP="007C2415">
      <w:pPr>
        <w:pStyle w:val="Luettelokappale"/>
        <w:ind w:left="0"/>
        <w:rPr>
          <w:b/>
          <w:color w:val="000000" w:themeColor="text1"/>
          <w:highlight w:val="yellow"/>
          <w:lang w:val="en-US"/>
        </w:rPr>
      </w:pPr>
    </w:p>
    <w:p w14:paraId="5058CC1C" w14:textId="77777777" w:rsidR="000D0E2F" w:rsidRPr="000B30AC" w:rsidRDefault="000D0E2F" w:rsidP="007C2415">
      <w:pPr>
        <w:pStyle w:val="Luettelokappale"/>
        <w:ind w:left="0"/>
        <w:rPr>
          <w:b/>
          <w:color w:val="000000" w:themeColor="text1"/>
          <w:highlight w:val="yellow"/>
          <w:lang w:val="en-US"/>
        </w:rPr>
      </w:pPr>
    </w:p>
    <w:p w14:paraId="78EB2A17" w14:textId="7A8B56C4" w:rsidR="007C2415" w:rsidRPr="00575F8F" w:rsidRDefault="007C2415" w:rsidP="007C2415">
      <w:pPr>
        <w:pStyle w:val="Luettelokappale"/>
        <w:ind w:left="0"/>
        <w:rPr>
          <w:b/>
          <w:color w:val="000000" w:themeColor="text1"/>
        </w:rPr>
      </w:pPr>
      <w:r>
        <w:rPr>
          <w:b/>
          <w:color w:val="000000" w:themeColor="text1"/>
        </w:rPr>
        <w:t xml:space="preserve">Utlåtande om Finlands ESK-rapport och ESK-möte </w:t>
      </w:r>
    </w:p>
    <w:p w14:paraId="70BAA006" w14:textId="77777777" w:rsidR="007C2415" w:rsidRPr="00575F8F" w:rsidRDefault="007C2415" w:rsidP="007C2415">
      <w:pPr>
        <w:pStyle w:val="Luettelokappale"/>
        <w:ind w:left="0"/>
        <w:rPr>
          <w:b/>
          <w:color w:val="000000" w:themeColor="text1"/>
        </w:rPr>
      </w:pPr>
    </w:p>
    <w:p w14:paraId="35B701B7" w14:textId="49B561A3" w:rsidR="001477E5" w:rsidRPr="00575F8F" w:rsidRDefault="007C2415" w:rsidP="007C2415">
      <w:pPr>
        <w:pStyle w:val="Luettelokappale"/>
        <w:ind w:left="0"/>
      </w:pPr>
      <w:r>
        <w:t>Människorättscentret gav sitt eget utlåtande om Finlands rapport om ekonomiska, sociala och kulturella (ESK) rättigheter 31.8.2020. Den viktigaste observationen var att det inte alltid finns information om grupperna som är i en sårbar situation, vilket gör att de lätt hamnar utanför rapporteringen. Kunskapsbasen om tillgodoseendet av de grundläggande och mänskliga rättigheterna måste stärkas.</w:t>
      </w:r>
    </w:p>
    <w:p w14:paraId="406BE439" w14:textId="77777777" w:rsidR="001477E5" w:rsidRPr="00575F8F" w:rsidRDefault="001477E5" w:rsidP="007C2415">
      <w:pPr>
        <w:pStyle w:val="Luettelokappale"/>
        <w:ind w:left="0"/>
      </w:pPr>
    </w:p>
    <w:p w14:paraId="429A0722" w14:textId="20FDB740" w:rsidR="007C2415" w:rsidRPr="00575F8F" w:rsidRDefault="007C2415" w:rsidP="007C2415">
      <w:pPr>
        <w:pStyle w:val="Luettelokappale"/>
        <w:ind w:left="0"/>
        <w:rPr>
          <w:color w:val="FF0000"/>
        </w:rPr>
      </w:pPr>
      <w:r>
        <w:t>ESK-kommittén var tvungen att skjuta upp behandlingen av de periodiska rapporterna på grund av coronasituationen, och Finlands rapport behandlas som det ser ut nu vid kommitténs 69 session 15.2–5.3.2021. Rekommendationerna för Finland torde publiceras 5.3.2021. Människorättscentret hade planerat att tillsammans med Människorättsförbundet ordna ett sammanträde i november 2020 där man skulle behandla kommitténs slutsatser och rekommendationer och ESK-rättigheternas betydelse i allmänhet. Sammanträdet flyttas till våren 2021.</w:t>
      </w:r>
    </w:p>
    <w:p w14:paraId="2A106E0F" w14:textId="77777777" w:rsidR="007C2415" w:rsidRPr="00575F8F" w:rsidRDefault="007C2415" w:rsidP="007C2415">
      <w:pPr>
        <w:spacing w:after="0"/>
        <w:rPr>
          <w:b/>
        </w:rPr>
      </w:pPr>
    </w:p>
    <w:p w14:paraId="535AEC98" w14:textId="2F81EE4F" w:rsidR="007C2415" w:rsidRDefault="007E485E" w:rsidP="007C2415">
      <w:pPr>
        <w:spacing w:after="0"/>
        <w:rPr>
          <w:rStyle w:val="Hyperlinkki"/>
          <w:bCs/>
        </w:rPr>
      </w:pPr>
      <w:hyperlink r:id="rId23" w:history="1">
        <w:r w:rsidR="00B6410A">
          <w:rPr>
            <w:rStyle w:val="Hyperlinkki"/>
            <w:bCs/>
          </w:rPr>
          <w:t>Människorättscentrets utlåtande om ESK-rapporten</w:t>
        </w:r>
      </w:hyperlink>
    </w:p>
    <w:p w14:paraId="4747AF17" w14:textId="77777777" w:rsidR="000D0E2F" w:rsidRPr="00575F8F" w:rsidRDefault="000D0E2F" w:rsidP="007C2415">
      <w:pPr>
        <w:spacing w:after="0"/>
        <w:rPr>
          <w:bCs/>
        </w:rPr>
      </w:pPr>
    </w:p>
    <w:p w14:paraId="6233776E" w14:textId="77777777" w:rsidR="007C2415" w:rsidRPr="000B30AC" w:rsidRDefault="007C2415" w:rsidP="007C2415">
      <w:pPr>
        <w:spacing w:after="0"/>
        <w:rPr>
          <w:b/>
          <w:highlight w:val="yellow"/>
        </w:rPr>
      </w:pPr>
    </w:p>
    <w:p w14:paraId="11B8A408" w14:textId="5C87B63A" w:rsidR="007F19CF" w:rsidRPr="000D0E2F" w:rsidRDefault="007F19CF" w:rsidP="007F19CF">
      <w:pPr>
        <w:rPr>
          <w:b/>
        </w:rPr>
      </w:pPr>
      <w:r>
        <w:rPr>
          <w:b/>
        </w:rPr>
        <w:t xml:space="preserve">ENNHRI:s rättsstatsrapport och EU-kommissionens rättsstatsrapport   </w:t>
      </w:r>
    </w:p>
    <w:p w14:paraId="1684B3B4" w14:textId="10B2F9D3" w:rsidR="008D0F26" w:rsidRPr="000D0E2F" w:rsidRDefault="007F19CF" w:rsidP="007F19CF">
      <w:r>
        <w:t xml:space="preserve">I maj deltog vi i ENNHRI:s rapport om de nationella människorättsinstitutionernas rättsstat som lämnades till Europeiska kommissionens granskning av rättsstaten (ROL Review Cycle). Kommissionen bad förutom regeringarna även organisationer och andra rättsstatliga aktörer om information om några centrala teman för rättsstaten (justice, checks and balances, media, corruption). Människorättscentret skrev Finlands del i ENNHRI-rapporten.  Europeiska kommissionens rapport, som också innehåller rekommendationer som gäller Finland, publicerades 30.9.2020. </w:t>
      </w:r>
    </w:p>
    <w:p w14:paraId="15D9F5D5" w14:textId="26A01A67" w:rsidR="000D0E2F" w:rsidRPr="000D0E2F" w:rsidRDefault="007E485E" w:rsidP="007F19CF">
      <w:hyperlink r:id="rId24" w:history="1">
        <w:r w:rsidR="00B6410A">
          <w:rPr>
            <w:rStyle w:val="Hyperlinkki"/>
          </w:rPr>
          <w:t>Kommissionens rättsstatsrapport</w:t>
        </w:r>
      </w:hyperlink>
    </w:p>
    <w:p w14:paraId="195B309E" w14:textId="6721A2C1" w:rsidR="007F19CF" w:rsidRPr="000D0E2F" w:rsidRDefault="007E485E" w:rsidP="007F19CF">
      <w:pPr>
        <w:rPr>
          <w:rStyle w:val="Hyperlinkki"/>
          <w:color w:val="FF0000"/>
        </w:rPr>
      </w:pPr>
      <w:hyperlink r:id="rId25" w:history="1">
        <w:r w:rsidR="00B6410A">
          <w:rPr>
            <w:rStyle w:val="Hyperlinkki"/>
          </w:rPr>
          <w:t>ENNHRI:s rättsstatsrapport</w:t>
        </w:r>
      </w:hyperlink>
    </w:p>
    <w:p w14:paraId="5A64D8AA" w14:textId="106DAEF1" w:rsidR="007F19CF" w:rsidRPr="000D0E2F" w:rsidRDefault="007E485E" w:rsidP="007F19CF">
      <w:pPr>
        <w:rPr>
          <w:rStyle w:val="Hyperlinkki"/>
          <w:color w:val="FF0000"/>
          <w:u w:val="none"/>
        </w:rPr>
      </w:pPr>
      <w:hyperlink r:id="rId26" w:history="1">
        <w:r w:rsidR="00B6410A">
          <w:rPr>
            <w:rStyle w:val="Hyperlinkki"/>
          </w:rPr>
          <w:t>ENNHRI:s webbplats</w:t>
        </w:r>
      </w:hyperlink>
    </w:p>
    <w:p w14:paraId="1CC79F3B" w14:textId="799B3771" w:rsidR="000D0E2F" w:rsidRDefault="000D0E2F" w:rsidP="005C0C7A">
      <w:pPr>
        <w:rPr>
          <w:rFonts w:cstheme="minorHAnsi"/>
          <w:b/>
          <w:bCs/>
          <w:lang w:eastAsia="fi-FI"/>
        </w:rPr>
      </w:pPr>
    </w:p>
    <w:p w14:paraId="52AAF21F" w14:textId="031763B6" w:rsidR="000D0E2F" w:rsidRDefault="000D0E2F" w:rsidP="005C0C7A">
      <w:pPr>
        <w:rPr>
          <w:rFonts w:cstheme="minorHAnsi"/>
          <w:b/>
          <w:bCs/>
          <w:lang w:eastAsia="fi-FI"/>
        </w:rPr>
      </w:pPr>
    </w:p>
    <w:p w14:paraId="3358E56E" w14:textId="77777777" w:rsidR="000D0E2F" w:rsidRDefault="000D0E2F" w:rsidP="005C0C7A">
      <w:pPr>
        <w:rPr>
          <w:rFonts w:cstheme="minorHAnsi"/>
          <w:b/>
          <w:bCs/>
          <w:lang w:eastAsia="fi-FI"/>
        </w:rPr>
      </w:pPr>
    </w:p>
    <w:p w14:paraId="6BCB751D" w14:textId="71EC9972" w:rsidR="007C2415" w:rsidRPr="00872DD7" w:rsidRDefault="0081384C" w:rsidP="005C0C7A">
      <w:pPr>
        <w:rPr>
          <w:rFonts w:cstheme="minorHAnsi"/>
          <w:b/>
          <w:bCs/>
        </w:rPr>
      </w:pPr>
      <w:r>
        <w:rPr>
          <w:b/>
        </w:rPr>
        <w:t xml:space="preserve">Sammanställning av observationerna av aktörer inom de grundläggande och mänskliga rättigheterna </w:t>
      </w:r>
    </w:p>
    <w:p w14:paraId="10A5532B" w14:textId="253DFC20" w:rsidR="008D0F26" w:rsidRPr="00872DD7" w:rsidRDefault="002D55FD" w:rsidP="005C0C7A">
      <w:pPr>
        <w:rPr>
          <w:rFonts w:cstheme="minorHAnsi"/>
        </w:rPr>
      </w:pPr>
      <w:r>
        <w:t>I 2021 publicerar Människorättscentret den andra och sista sammanställningen av observationerna av aktörer inom de grundläggande och mänskliga rättigheterna om rättigheternas tillgodoseende i Finland. Den första motsvarande sammanställningen publicerades i april 2020.</w:t>
      </w:r>
    </w:p>
    <w:p w14:paraId="7C850DE2" w14:textId="5ADD0B72" w:rsidR="002D55FD" w:rsidRPr="00872DD7" w:rsidRDefault="007E485E" w:rsidP="000B2A13">
      <w:hyperlink r:id="rId27" w:history="1">
        <w:r w:rsidR="00B6410A">
          <w:rPr>
            <w:rStyle w:val="Hyperlinkki"/>
          </w:rPr>
          <w:t>Tillgodoseendet av de grundläggande och mänskliga rättigheterna i Finland – samlade observationer</w:t>
        </w:r>
      </w:hyperlink>
      <w:r w:rsidR="00B6410A">
        <w:rPr>
          <w:rStyle w:val="Hyperlinkki"/>
        </w:rPr>
        <w:t xml:space="preserve"> (vol. 1)</w:t>
      </w:r>
    </w:p>
    <w:p w14:paraId="4DCD3FAA" w14:textId="78FC53ED" w:rsidR="002D55FD" w:rsidRPr="000B30AC" w:rsidRDefault="002D55FD" w:rsidP="005C0C7A">
      <w:pPr>
        <w:rPr>
          <w:rFonts w:cstheme="minorHAnsi"/>
          <w:b/>
          <w:bCs/>
          <w:highlight w:val="yellow"/>
          <w:lang w:eastAsia="fi-FI"/>
        </w:rPr>
      </w:pPr>
    </w:p>
    <w:p w14:paraId="032CA29D" w14:textId="13C13B14" w:rsidR="0096741F" w:rsidRPr="00554A9B" w:rsidRDefault="0096741F" w:rsidP="000C5283">
      <w:pPr>
        <w:pStyle w:val="Otsikko1"/>
        <w:rPr>
          <w:rFonts w:asciiTheme="minorHAnsi" w:hAnsiTheme="minorHAnsi" w:cstheme="minorHAnsi"/>
          <w:b w:val="0"/>
          <w:bCs w:val="0"/>
          <w:sz w:val="22"/>
          <w:szCs w:val="22"/>
        </w:rPr>
      </w:pPr>
      <w:bookmarkStart w:id="3" w:name="_Toc62117104"/>
      <w:r>
        <w:rPr>
          <w:rFonts w:asciiTheme="minorHAnsi" w:hAnsiTheme="minorHAnsi"/>
          <w:b w:val="0"/>
          <w:sz w:val="22"/>
        </w:rPr>
        <w:t>3 INTERNATIONELLT SAMARBETE</w:t>
      </w:r>
      <w:bookmarkEnd w:id="3"/>
    </w:p>
    <w:p w14:paraId="451D5C08" w14:textId="7351F375" w:rsidR="006B791A" w:rsidRPr="00872DD7" w:rsidRDefault="006B791A" w:rsidP="00BD1956">
      <w:pPr>
        <w:rPr>
          <w:b/>
        </w:rPr>
      </w:pPr>
      <w:r>
        <w:rPr>
          <w:b/>
        </w:rPr>
        <w:t>ENNHRI:s  juridiska arbetsgrupp och annat samarbete med nätverket</w:t>
      </w:r>
    </w:p>
    <w:p w14:paraId="044483C4" w14:textId="6D0D0195" w:rsidR="00AB2292" w:rsidRDefault="006B791A" w:rsidP="00BD1956">
      <w:r>
        <w:t>Människorättscentret deltar aktivt i utvecklingen av nätverket för europeiska nationella människorättsinstitutioner</w:t>
      </w:r>
      <w:r>
        <w:rPr>
          <w:b/>
        </w:rPr>
        <w:t xml:space="preserve"> </w:t>
      </w:r>
      <w:r>
        <w:t xml:space="preserve">ENNHRI och i dess arbetsgruppers verksamhet. Arbetsgruppen publicerade </w:t>
      </w:r>
      <w:hyperlink r:id="rId28" w:history="1">
        <w:r>
          <w:rPr>
            <w:rStyle w:val="Hyperlinkki"/>
          </w:rPr>
          <w:t>en handbok</w:t>
        </w:r>
      </w:hyperlink>
      <w:r>
        <w:t xml:space="preserve"> och en processanvisning för institutionerna om hur man gör sidoingripanden till Europeiska domstolen för de mänskliga rättigheterna (Europadomstolen). Om tillstånd beviljas, kommer ENNHRI i början av 2021 att göra ett sidoingripande i de portugisiska barnens klimatklagomål i Europadomstolen. </w:t>
      </w:r>
    </w:p>
    <w:p w14:paraId="7DC8E71B" w14:textId="79C56FA1" w:rsidR="0081384C" w:rsidRPr="0081384C" w:rsidRDefault="0081384C" w:rsidP="00BD1956">
      <w:r>
        <w:t xml:space="preserve">Annars fokuserade arbetet 2020 på främjandet av verkställandet av Europadomstolens beslut på nationell nivå och i Europarådets ministerkommitté, rättsstatsfrågor och verkställandet av EU:s stadga om de grundläggande rättigheterna. Alla dessa kommer att fortsätta under 2021. </w:t>
      </w:r>
    </w:p>
    <w:p w14:paraId="1DD670D5" w14:textId="2702A3EC" w:rsidR="00BD5119" w:rsidRPr="0081384C" w:rsidRDefault="007E485E" w:rsidP="00BD1956">
      <w:pPr>
        <w:rPr>
          <w:color w:val="FF0000"/>
        </w:rPr>
      </w:pPr>
      <w:hyperlink r:id="rId29" w:history="1">
        <w:r w:rsidR="00B6410A">
          <w:rPr>
            <w:rStyle w:val="Hyperlinkki"/>
          </w:rPr>
          <w:t>ENNHRI:s juridiska arbetsgrupp</w:t>
        </w:r>
      </w:hyperlink>
    </w:p>
    <w:p w14:paraId="442386C1" w14:textId="799EC0B2" w:rsidR="006B791A" w:rsidRDefault="006B791A" w:rsidP="00BD1956">
      <w:pPr>
        <w:rPr>
          <w:color w:val="FF0000"/>
        </w:rPr>
      </w:pPr>
    </w:p>
    <w:p w14:paraId="5A536EBD" w14:textId="3C49A101" w:rsidR="0081384C" w:rsidRPr="0081384C" w:rsidRDefault="0081384C" w:rsidP="0081384C">
      <w:pPr>
        <w:jc w:val="center"/>
      </w:pPr>
      <w:r>
        <w:t>***</w:t>
      </w:r>
    </w:p>
    <w:sectPr w:rsidR="0081384C" w:rsidRPr="0081384C" w:rsidSect="00BB7901">
      <w:headerReference w:type="even" r:id="rId30"/>
      <w:headerReference w:type="default" r:id="rId31"/>
      <w:footerReference w:type="even" r:id="rId32"/>
      <w:footerReference w:type="default" r:id="rId33"/>
      <w:headerReference w:type="first" r:id="rId34"/>
      <w:footerReference w:type="first" r:id="rId35"/>
      <w:pgSz w:w="11906" w:h="16838"/>
      <w:pgMar w:top="851" w:right="56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7634A" w14:textId="77777777" w:rsidR="00B8310F" w:rsidRDefault="00B8310F" w:rsidP="00AF5178">
      <w:pPr>
        <w:spacing w:after="0" w:line="240" w:lineRule="auto"/>
      </w:pPr>
      <w:r>
        <w:separator/>
      </w:r>
    </w:p>
  </w:endnote>
  <w:endnote w:type="continuationSeparator" w:id="0">
    <w:p w14:paraId="3B9B9602" w14:textId="77777777" w:rsidR="00B8310F" w:rsidRDefault="00B8310F" w:rsidP="00AF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29F1" w14:textId="77777777" w:rsidR="00340540" w:rsidRDefault="0034054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472466"/>
      <w:docPartObj>
        <w:docPartGallery w:val="Page Numbers (Bottom of Page)"/>
        <w:docPartUnique/>
      </w:docPartObj>
    </w:sdtPr>
    <w:sdtEndPr/>
    <w:sdtContent>
      <w:p w14:paraId="52204D9E" w14:textId="35880C00" w:rsidR="00AE04D7" w:rsidRDefault="00AE04D7">
        <w:pPr>
          <w:pStyle w:val="Alatunniste"/>
          <w:jc w:val="right"/>
        </w:pPr>
        <w:r>
          <w:fldChar w:fldCharType="begin"/>
        </w:r>
        <w:r>
          <w:instrText>PAGE   \* MERGEFORMAT</w:instrText>
        </w:r>
        <w:r>
          <w:fldChar w:fldCharType="separate"/>
        </w:r>
        <w:r w:rsidR="00514D19">
          <w:rPr>
            <w:noProof/>
          </w:rPr>
          <w:t>2</w:t>
        </w:r>
        <w:r>
          <w:fldChar w:fldCharType="end"/>
        </w:r>
      </w:p>
    </w:sdtContent>
  </w:sdt>
  <w:p w14:paraId="3C4E8C3A" w14:textId="77777777" w:rsidR="00AE04D7" w:rsidRDefault="00AE04D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C5D9" w14:textId="77777777" w:rsidR="00340540" w:rsidRDefault="003405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EC832" w14:textId="77777777" w:rsidR="00B8310F" w:rsidRDefault="00B8310F" w:rsidP="00AF5178">
      <w:pPr>
        <w:spacing w:after="0" w:line="240" w:lineRule="auto"/>
      </w:pPr>
      <w:r>
        <w:separator/>
      </w:r>
    </w:p>
  </w:footnote>
  <w:footnote w:type="continuationSeparator" w:id="0">
    <w:p w14:paraId="756E384A" w14:textId="77777777" w:rsidR="00B8310F" w:rsidRDefault="00B8310F" w:rsidP="00AF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A6D9" w14:textId="77777777" w:rsidR="00340540" w:rsidRDefault="0034054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4356" w14:textId="3820270A" w:rsidR="00B344DE" w:rsidRDefault="00B344DE">
    <w:pPr>
      <w:pStyle w:val="Yltunniste"/>
      <w:jc w:val="right"/>
    </w:pPr>
  </w:p>
  <w:p w14:paraId="7CEB6F8A" w14:textId="77777777" w:rsidR="00B94E37" w:rsidRDefault="00B94E3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BAFA" w14:textId="77777777" w:rsidR="00340540" w:rsidRDefault="0034054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5BCF"/>
    <w:multiLevelType w:val="hybridMultilevel"/>
    <w:tmpl w:val="D38EAE54"/>
    <w:lvl w:ilvl="0" w:tplc="83643CEC">
      <w:start w:val="1"/>
      <w:numFmt w:val="bullet"/>
      <w:lvlText w:val="•"/>
      <w:lvlJc w:val="left"/>
      <w:pPr>
        <w:tabs>
          <w:tab w:val="num" w:pos="720"/>
        </w:tabs>
        <w:ind w:left="720" w:hanging="360"/>
      </w:pPr>
      <w:rPr>
        <w:rFonts w:ascii="Arial" w:hAnsi="Arial" w:hint="default"/>
      </w:rPr>
    </w:lvl>
    <w:lvl w:ilvl="1" w:tplc="A77CAEB4" w:tentative="1">
      <w:start w:val="1"/>
      <w:numFmt w:val="bullet"/>
      <w:lvlText w:val="•"/>
      <w:lvlJc w:val="left"/>
      <w:pPr>
        <w:tabs>
          <w:tab w:val="num" w:pos="1440"/>
        </w:tabs>
        <w:ind w:left="1440" w:hanging="360"/>
      </w:pPr>
      <w:rPr>
        <w:rFonts w:ascii="Arial" w:hAnsi="Arial" w:hint="default"/>
      </w:rPr>
    </w:lvl>
    <w:lvl w:ilvl="2" w:tplc="D79AD392" w:tentative="1">
      <w:start w:val="1"/>
      <w:numFmt w:val="bullet"/>
      <w:lvlText w:val="•"/>
      <w:lvlJc w:val="left"/>
      <w:pPr>
        <w:tabs>
          <w:tab w:val="num" w:pos="2160"/>
        </w:tabs>
        <w:ind w:left="2160" w:hanging="360"/>
      </w:pPr>
      <w:rPr>
        <w:rFonts w:ascii="Arial" w:hAnsi="Arial" w:hint="default"/>
      </w:rPr>
    </w:lvl>
    <w:lvl w:ilvl="3" w:tplc="1D3012A4" w:tentative="1">
      <w:start w:val="1"/>
      <w:numFmt w:val="bullet"/>
      <w:lvlText w:val="•"/>
      <w:lvlJc w:val="left"/>
      <w:pPr>
        <w:tabs>
          <w:tab w:val="num" w:pos="2880"/>
        </w:tabs>
        <w:ind w:left="2880" w:hanging="360"/>
      </w:pPr>
      <w:rPr>
        <w:rFonts w:ascii="Arial" w:hAnsi="Arial" w:hint="default"/>
      </w:rPr>
    </w:lvl>
    <w:lvl w:ilvl="4" w:tplc="97B21CC2" w:tentative="1">
      <w:start w:val="1"/>
      <w:numFmt w:val="bullet"/>
      <w:lvlText w:val="•"/>
      <w:lvlJc w:val="left"/>
      <w:pPr>
        <w:tabs>
          <w:tab w:val="num" w:pos="3600"/>
        </w:tabs>
        <w:ind w:left="3600" w:hanging="360"/>
      </w:pPr>
      <w:rPr>
        <w:rFonts w:ascii="Arial" w:hAnsi="Arial" w:hint="default"/>
      </w:rPr>
    </w:lvl>
    <w:lvl w:ilvl="5" w:tplc="84BEDC70" w:tentative="1">
      <w:start w:val="1"/>
      <w:numFmt w:val="bullet"/>
      <w:lvlText w:val="•"/>
      <w:lvlJc w:val="left"/>
      <w:pPr>
        <w:tabs>
          <w:tab w:val="num" w:pos="4320"/>
        </w:tabs>
        <w:ind w:left="4320" w:hanging="360"/>
      </w:pPr>
      <w:rPr>
        <w:rFonts w:ascii="Arial" w:hAnsi="Arial" w:hint="default"/>
      </w:rPr>
    </w:lvl>
    <w:lvl w:ilvl="6" w:tplc="49DAC22C" w:tentative="1">
      <w:start w:val="1"/>
      <w:numFmt w:val="bullet"/>
      <w:lvlText w:val="•"/>
      <w:lvlJc w:val="left"/>
      <w:pPr>
        <w:tabs>
          <w:tab w:val="num" w:pos="5040"/>
        </w:tabs>
        <w:ind w:left="5040" w:hanging="360"/>
      </w:pPr>
      <w:rPr>
        <w:rFonts w:ascii="Arial" w:hAnsi="Arial" w:hint="default"/>
      </w:rPr>
    </w:lvl>
    <w:lvl w:ilvl="7" w:tplc="B25CE460" w:tentative="1">
      <w:start w:val="1"/>
      <w:numFmt w:val="bullet"/>
      <w:lvlText w:val="•"/>
      <w:lvlJc w:val="left"/>
      <w:pPr>
        <w:tabs>
          <w:tab w:val="num" w:pos="5760"/>
        </w:tabs>
        <w:ind w:left="5760" w:hanging="360"/>
      </w:pPr>
      <w:rPr>
        <w:rFonts w:ascii="Arial" w:hAnsi="Arial" w:hint="default"/>
      </w:rPr>
    </w:lvl>
    <w:lvl w:ilvl="8" w:tplc="DC2E61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C51E2B"/>
    <w:multiLevelType w:val="hybridMultilevel"/>
    <w:tmpl w:val="16CA85FE"/>
    <w:lvl w:ilvl="0" w:tplc="5566B0B8">
      <w:start w:val="2"/>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366926BF"/>
    <w:multiLevelType w:val="hybridMultilevel"/>
    <w:tmpl w:val="F35A4E10"/>
    <w:lvl w:ilvl="0" w:tplc="040B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3CB64070"/>
    <w:multiLevelType w:val="hybridMultilevel"/>
    <w:tmpl w:val="29E0BFA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4D5902E1"/>
    <w:multiLevelType w:val="hybridMultilevel"/>
    <w:tmpl w:val="288E1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DE7658D"/>
    <w:multiLevelType w:val="multilevel"/>
    <w:tmpl w:val="304E9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C031C"/>
    <w:multiLevelType w:val="multilevel"/>
    <w:tmpl w:val="FE56D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DE4BEA"/>
    <w:multiLevelType w:val="hybridMultilevel"/>
    <w:tmpl w:val="420EA5B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5ED56934"/>
    <w:multiLevelType w:val="multilevel"/>
    <w:tmpl w:val="6D28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B2FC7"/>
    <w:multiLevelType w:val="hybridMultilevel"/>
    <w:tmpl w:val="E50CC230"/>
    <w:lvl w:ilvl="0" w:tplc="49DE4AD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AB5D28"/>
    <w:multiLevelType w:val="hybridMultilevel"/>
    <w:tmpl w:val="296ECCF2"/>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765A399C"/>
    <w:multiLevelType w:val="hybridMultilevel"/>
    <w:tmpl w:val="90E6322E"/>
    <w:lvl w:ilvl="0" w:tplc="0E90F98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7D464C2"/>
    <w:multiLevelType w:val="hybridMultilevel"/>
    <w:tmpl w:val="315028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8"/>
  </w:num>
  <w:num w:numId="7">
    <w:abstractNumId w:val="10"/>
  </w:num>
  <w:num w:numId="8">
    <w:abstractNumId w:val="7"/>
  </w:num>
  <w:num w:numId="9">
    <w:abstractNumId w:val="12"/>
  </w:num>
  <w:num w:numId="10">
    <w:abstractNumId w:val="1"/>
  </w:num>
  <w:num w:numId="11">
    <w:abstractNumId w:val="6"/>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2B"/>
    <w:rsid w:val="00022796"/>
    <w:rsid w:val="00063CB2"/>
    <w:rsid w:val="00073B37"/>
    <w:rsid w:val="0007438A"/>
    <w:rsid w:val="000A0ED3"/>
    <w:rsid w:val="000A1027"/>
    <w:rsid w:val="000A6FC6"/>
    <w:rsid w:val="000A72A5"/>
    <w:rsid w:val="000B2A13"/>
    <w:rsid w:val="000B30AC"/>
    <w:rsid w:val="000C5283"/>
    <w:rsid w:val="000D0E2F"/>
    <w:rsid w:val="000D123C"/>
    <w:rsid w:val="000D4FCD"/>
    <w:rsid w:val="000E2872"/>
    <w:rsid w:val="000E4224"/>
    <w:rsid w:val="000F6F22"/>
    <w:rsid w:val="00125E23"/>
    <w:rsid w:val="001262C3"/>
    <w:rsid w:val="00140F24"/>
    <w:rsid w:val="001477E5"/>
    <w:rsid w:val="00150DA3"/>
    <w:rsid w:val="00174C90"/>
    <w:rsid w:val="00194792"/>
    <w:rsid w:val="001C6D02"/>
    <w:rsid w:val="001E69B6"/>
    <w:rsid w:val="0022654F"/>
    <w:rsid w:val="0024600B"/>
    <w:rsid w:val="00251118"/>
    <w:rsid w:val="00265CB2"/>
    <w:rsid w:val="002739FA"/>
    <w:rsid w:val="002937F5"/>
    <w:rsid w:val="00297C93"/>
    <w:rsid w:val="002A3C45"/>
    <w:rsid w:val="002B01CB"/>
    <w:rsid w:val="002C0C05"/>
    <w:rsid w:val="002C313A"/>
    <w:rsid w:val="002D1C71"/>
    <w:rsid w:val="002D55FD"/>
    <w:rsid w:val="003009CE"/>
    <w:rsid w:val="0031161E"/>
    <w:rsid w:val="00334CF8"/>
    <w:rsid w:val="00340540"/>
    <w:rsid w:val="00342B27"/>
    <w:rsid w:val="0037573E"/>
    <w:rsid w:val="003B1AC1"/>
    <w:rsid w:val="003D0D56"/>
    <w:rsid w:val="003E7FBC"/>
    <w:rsid w:val="003F48A6"/>
    <w:rsid w:val="00413FCA"/>
    <w:rsid w:val="00414955"/>
    <w:rsid w:val="00420F63"/>
    <w:rsid w:val="004241A7"/>
    <w:rsid w:val="0045103E"/>
    <w:rsid w:val="00470119"/>
    <w:rsid w:val="004B3D18"/>
    <w:rsid w:val="004B55F6"/>
    <w:rsid w:val="004D5F61"/>
    <w:rsid w:val="004F20D3"/>
    <w:rsid w:val="00514D19"/>
    <w:rsid w:val="0054695A"/>
    <w:rsid w:val="00554A9B"/>
    <w:rsid w:val="00564D80"/>
    <w:rsid w:val="00575F8F"/>
    <w:rsid w:val="005A65B2"/>
    <w:rsid w:val="005B6797"/>
    <w:rsid w:val="005C05A8"/>
    <w:rsid w:val="005C0C7A"/>
    <w:rsid w:val="005C2223"/>
    <w:rsid w:val="005E202C"/>
    <w:rsid w:val="005F490B"/>
    <w:rsid w:val="00613D64"/>
    <w:rsid w:val="00635533"/>
    <w:rsid w:val="00642E24"/>
    <w:rsid w:val="00692221"/>
    <w:rsid w:val="006B791A"/>
    <w:rsid w:val="006F01DA"/>
    <w:rsid w:val="006F0D42"/>
    <w:rsid w:val="00721F05"/>
    <w:rsid w:val="00725ADA"/>
    <w:rsid w:val="0073196B"/>
    <w:rsid w:val="007525FA"/>
    <w:rsid w:val="00755F7B"/>
    <w:rsid w:val="0078312F"/>
    <w:rsid w:val="0078593E"/>
    <w:rsid w:val="00791DBB"/>
    <w:rsid w:val="007A28E3"/>
    <w:rsid w:val="007B388A"/>
    <w:rsid w:val="007C2415"/>
    <w:rsid w:val="007D700C"/>
    <w:rsid w:val="007E3494"/>
    <w:rsid w:val="007E485E"/>
    <w:rsid w:val="007F19CF"/>
    <w:rsid w:val="007F59B8"/>
    <w:rsid w:val="007F64FF"/>
    <w:rsid w:val="00803932"/>
    <w:rsid w:val="0081384C"/>
    <w:rsid w:val="0082728E"/>
    <w:rsid w:val="00865E1D"/>
    <w:rsid w:val="00872DD7"/>
    <w:rsid w:val="008C2826"/>
    <w:rsid w:val="008C443E"/>
    <w:rsid w:val="008D0EF4"/>
    <w:rsid w:val="008D0F26"/>
    <w:rsid w:val="008D102B"/>
    <w:rsid w:val="008E60FA"/>
    <w:rsid w:val="008F7316"/>
    <w:rsid w:val="00902154"/>
    <w:rsid w:val="0091314F"/>
    <w:rsid w:val="00915FF5"/>
    <w:rsid w:val="0094449E"/>
    <w:rsid w:val="00951824"/>
    <w:rsid w:val="0096741F"/>
    <w:rsid w:val="00980278"/>
    <w:rsid w:val="00982CCC"/>
    <w:rsid w:val="009B6B39"/>
    <w:rsid w:val="009C4CE2"/>
    <w:rsid w:val="009D1937"/>
    <w:rsid w:val="009D446D"/>
    <w:rsid w:val="009D6005"/>
    <w:rsid w:val="009D61BA"/>
    <w:rsid w:val="009F5371"/>
    <w:rsid w:val="009F6B95"/>
    <w:rsid w:val="00A14995"/>
    <w:rsid w:val="00A30982"/>
    <w:rsid w:val="00A31353"/>
    <w:rsid w:val="00A324A2"/>
    <w:rsid w:val="00A42EA9"/>
    <w:rsid w:val="00A53504"/>
    <w:rsid w:val="00A822AB"/>
    <w:rsid w:val="00A830EC"/>
    <w:rsid w:val="00A83A73"/>
    <w:rsid w:val="00AB122A"/>
    <w:rsid w:val="00AB2292"/>
    <w:rsid w:val="00AC0FE3"/>
    <w:rsid w:val="00AD7674"/>
    <w:rsid w:val="00AE04D7"/>
    <w:rsid w:val="00AF5178"/>
    <w:rsid w:val="00B344DE"/>
    <w:rsid w:val="00B42237"/>
    <w:rsid w:val="00B6410A"/>
    <w:rsid w:val="00B8310F"/>
    <w:rsid w:val="00B8486C"/>
    <w:rsid w:val="00B849C7"/>
    <w:rsid w:val="00B94E37"/>
    <w:rsid w:val="00BA2DA4"/>
    <w:rsid w:val="00BA40EA"/>
    <w:rsid w:val="00BB7901"/>
    <w:rsid w:val="00BD1956"/>
    <w:rsid w:val="00BD207A"/>
    <w:rsid w:val="00BD5119"/>
    <w:rsid w:val="00C04DD7"/>
    <w:rsid w:val="00C12CC9"/>
    <w:rsid w:val="00C272F0"/>
    <w:rsid w:val="00C32704"/>
    <w:rsid w:val="00C328CE"/>
    <w:rsid w:val="00C34C32"/>
    <w:rsid w:val="00C36033"/>
    <w:rsid w:val="00C511B0"/>
    <w:rsid w:val="00C55437"/>
    <w:rsid w:val="00C917EE"/>
    <w:rsid w:val="00CC179F"/>
    <w:rsid w:val="00CE12EA"/>
    <w:rsid w:val="00CF2625"/>
    <w:rsid w:val="00D1043F"/>
    <w:rsid w:val="00D658E3"/>
    <w:rsid w:val="00D822FA"/>
    <w:rsid w:val="00DC10B3"/>
    <w:rsid w:val="00DD711B"/>
    <w:rsid w:val="00DE2CF8"/>
    <w:rsid w:val="00DE39D8"/>
    <w:rsid w:val="00DF0656"/>
    <w:rsid w:val="00E02786"/>
    <w:rsid w:val="00E06E2E"/>
    <w:rsid w:val="00E07837"/>
    <w:rsid w:val="00E3135E"/>
    <w:rsid w:val="00EC1584"/>
    <w:rsid w:val="00EE78A0"/>
    <w:rsid w:val="00EF5C7B"/>
    <w:rsid w:val="00F11016"/>
    <w:rsid w:val="00F11FDB"/>
    <w:rsid w:val="00F711DE"/>
    <w:rsid w:val="00F775B1"/>
    <w:rsid w:val="00FB267A"/>
    <w:rsid w:val="00FB3C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43C89"/>
  <w15:chartTrackingRefBased/>
  <w15:docId w15:val="{EB905CD5-6A81-4C2F-B1B5-1586F85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125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D102B"/>
    <w:pPr>
      <w:spacing w:after="0" w:line="240" w:lineRule="auto"/>
      <w:ind w:left="720"/>
    </w:pPr>
    <w:rPr>
      <w:rFonts w:ascii="Calibri" w:hAnsi="Calibri" w:cs="Calibri"/>
    </w:rPr>
  </w:style>
  <w:style w:type="character" w:styleId="Hyperlinkki">
    <w:name w:val="Hyperlink"/>
    <w:basedOn w:val="Kappaleenoletusfontti"/>
    <w:uiPriority w:val="99"/>
    <w:unhideWhenUsed/>
    <w:rsid w:val="008D102B"/>
    <w:rPr>
      <w:color w:val="0000FF"/>
      <w:u w:val="single"/>
    </w:rPr>
  </w:style>
  <w:style w:type="paragraph" w:customStyle="1" w:styleId="Default">
    <w:name w:val="Default"/>
    <w:basedOn w:val="Normaali"/>
    <w:rsid w:val="00A324A2"/>
    <w:pPr>
      <w:autoSpaceDE w:val="0"/>
      <w:autoSpaceDN w:val="0"/>
      <w:spacing w:after="0" w:line="240" w:lineRule="auto"/>
    </w:pPr>
    <w:rPr>
      <w:rFonts w:ascii="Calibri" w:hAnsi="Calibri" w:cs="Calibri"/>
      <w:color w:val="000000"/>
      <w:sz w:val="24"/>
      <w:szCs w:val="24"/>
      <w:lang w:eastAsia="fi-FI"/>
    </w:rPr>
  </w:style>
  <w:style w:type="character" w:styleId="AvattuHyperlinkki">
    <w:name w:val="FollowedHyperlink"/>
    <w:basedOn w:val="Kappaleenoletusfontti"/>
    <w:uiPriority w:val="99"/>
    <w:semiHidden/>
    <w:unhideWhenUsed/>
    <w:rsid w:val="00AB122A"/>
    <w:rPr>
      <w:color w:val="954F72" w:themeColor="followedHyperlink"/>
      <w:u w:val="single"/>
    </w:rPr>
  </w:style>
  <w:style w:type="character" w:styleId="Kommentinviite">
    <w:name w:val="annotation reference"/>
    <w:basedOn w:val="Kappaleenoletusfontti"/>
    <w:uiPriority w:val="99"/>
    <w:semiHidden/>
    <w:unhideWhenUsed/>
    <w:rsid w:val="00AB122A"/>
    <w:rPr>
      <w:sz w:val="16"/>
      <w:szCs w:val="16"/>
    </w:rPr>
  </w:style>
  <w:style w:type="paragraph" w:styleId="Kommentinteksti">
    <w:name w:val="annotation text"/>
    <w:basedOn w:val="Normaali"/>
    <w:link w:val="KommentintekstiChar"/>
    <w:uiPriority w:val="99"/>
    <w:semiHidden/>
    <w:unhideWhenUsed/>
    <w:rsid w:val="00AB122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B122A"/>
    <w:rPr>
      <w:sz w:val="20"/>
      <w:szCs w:val="20"/>
    </w:rPr>
  </w:style>
  <w:style w:type="paragraph" w:styleId="Kommentinotsikko">
    <w:name w:val="annotation subject"/>
    <w:basedOn w:val="Kommentinteksti"/>
    <w:next w:val="Kommentinteksti"/>
    <w:link w:val="KommentinotsikkoChar"/>
    <w:uiPriority w:val="99"/>
    <w:semiHidden/>
    <w:unhideWhenUsed/>
    <w:rsid w:val="00AB122A"/>
    <w:rPr>
      <w:b/>
      <w:bCs/>
    </w:rPr>
  </w:style>
  <w:style w:type="character" w:customStyle="1" w:styleId="KommentinotsikkoChar">
    <w:name w:val="Kommentin otsikko Char"/>
    <w:basedOn w:val="KommentintekstiChar"/>
    <w:link w:val="Kommentinotsikko"/>
    <w:uiPriority w:val="99"/>
    <w:semiHidden/>
    <w:rsid w:val="00AB122A"/>
    <w:rPr>
      <w:b/>
      <w:bCs/>
      <w:sz w:val="20"/>
      <w:szCs w:val="20"/>
    </w:rPr>
  </w:style>
  <w:style w:type="paragraph" w:styleId="Seliteteksti">
    <w:name w:val="Balloon Text"/>
    <w:basedOn w:val="Normaali"/>
    <w:link w:val="SelitetekstiChar"/>
    <w:uiPriority w:val="99"/>
    <w:semiHidden/>
    <w:unhideWhenUsed/>
    <w:rsid w:val="00AB122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122A"/>
    <w:rPr>
      <w:rFonts w:ascii="Segoe UI" w:hAnsi="Segoe UI" w:cs="Segoe UI"/>
      <w:sz w:val="18"/>
      <w:szCs w:val="18"/>
    </w:rPr>
  </w:style>
  <w:style w:type="paragraph" w:styleId="Yltunniste">
    <w:name w:val="header"/>
    <w:basedOn w:val="Normaali"/>
    <w:link w:val="YltunnisteChar"/>
    <w:uiPriority w:val="99"/>
    <w:unhideWhenUsed/>
    <w:rsid w:val="00AE04D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04D7"/>
  </w:style>
  <w:style w:type="paragraph" w:styleId="Alatunniste">
    <w:name w:val="footer"/>
    <w:basedOn w:val="Normaali"/>
    <w:link w:val="AlatunnisteChar"/>
    <w:uiPriority w:val="99"/>
    <w:unhideWhenUsed/>
    <w:rsid w:val="00AE04D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04D7"/>
  </w:style>
  <w:style w:type="character" w:customStyle="1" w:styleId="Ratkaisematonmaininta1">
    <w:name w:val="Ratkaisematon maininta1"/>
    <w:basedOn w:val="Kappaleenoletusfontti"/>
    <w:uiPriority w:val="99"/>
    <w:semiHidden/>
    <w:unhideWhenUsed/>
    <w:rsid w:val="00DF0656"/>
    <w:rPr>
      <w:color w:val="605E5C"/>
      <w:shd w:val="clear" w:color="auto" w:fill="E1DFDD"/>
    </w:rPr>
  </w:style>
  <w:style w:type="character" w:customStyle="1" w:styleId="Ratkaisematonmaininta2">
    <w:name w:val="Ratkaisematon maininta2"/>
    <w:basedOn w:val="Kappaleenoletusfontti"/>
    <w:uiPriority w:val="99"/>
    <w:semiHidden/>
    <w:unhideWhenUsed/>
    <w:rsid w:val="00613D64"/>
    <w:rPr>
      <w:color w:val="605E5C"/>
      <w:shd w:val="clear" w:color="auto" w:fill="E1DFDD"/>
    </w:rPr>
  </w:style>
  <w:style w:type="paragraph" w:customStyle="1" w:styleId="ingressi">
    <w:name w:val="ingressi"/>
    <w:basedOn w:val="Normaali"/>
    <w:rsid w:val="00125E2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125E2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125E23"/>
    <w:rPr>
      <w:rFonts w:ascii="Times New Roman" w:eastAsia="Times New Roman" w:hAnsi="Times New Roman" w:cs="Times New Roman"/>
      <w:b/>
      <w:bCs/>
      <w:kern w:val="36"/>
      <w:sz w:val="48"/>
      <w:szCs w:val="48"/>
      <w:lang w:eastAsia="fi-FI"/>
    </w:rPr>
  </w:style>
  <w:style w:type="character" w:customStyle="1" w:styleId="Ratkaisematonmaininta3">
    <w:name w:val="Ratkaisematon maininta3"/>
    <w:basedOn w:val="Kappaleenoletusfontti"/>
    <w:uiPriority w:val="99"/>
    <w:semiHidden/>
    <w:unhideWhenUsed/>
    <w:rsid w:val="00CE12EA"/>
    <w:rPr>
      <w:color w:val="605E5C"/>
      <w:shd w:val="clear" w:color="auto" w:fill="E1DFDD"/>
    </w:rPr>
  </w:style>
  <w:style w:type="paragraph" w:styleId="Muutos">
    <w:name w:val="Revision"/>
    <w:hidden/>
    <w:uiPriority w:val="99"/>
    <w:semiHidden/>
    <w:rsid w:val="000E2872"/>
    <w:pPr>
      <w:spacing w:after="0" w:line="240" w:lineRule="auto"/>
    </w:pPr>
  </w:style>
  <w:style w:type="paragraph" w:styleId="Alaviitteenteksti">
    <w:name w:val="footnote text"/>
    <w:basedOn w:val="Normaali"/>
    <w:link w:val="AlaviitteentekstiChar"/>
    <w:uiPriority w:val="99"/>
    <w:semiHidden/>
    <w:unhideWhenUsed/>
    <w:rsid w:val="00A14995"/>
    <w:pPr>
      <w:widowControl w:val="0"/>
      <w:spacing w:after="0" w:line="240" w:lineRule="auto"/>
    </w:pPr>
    <w:rPr>
      <w:rFonts w:ascii="Arial" w:eastAsia="Arial" w:hAnsi="Arial" w:cs="Times New Roman"/>
      <w:color w:val="000000"/>
      <w:sz w:val="20"/>
      <w:szCs w:val="20"/>
    </w:rPr>
  </w:style>
  <w:style w:type="character" w:customStyle="1" w:styleId="AlaviitteentekstiChar">
    <w:name w:val="Alaviitteen teksti Char"/>
    <w:basedOn w:val="Kappaleenoletusfontti"/>
    <w:link w:val="Alaviitteenteksti"/>
    <w:uiPriority w:val="99"/>
    <w:semiHidden/>
    <w:rsid w:val="00A14995"/>
    <w:rPr>
      <w:rFonts w:ascii="Arial" w:eastAsia="Arial" w:hAnsi="Arial" w:cs="Times New Roman"/>
      <w:color w:val="000000"/>
      <w:sz w:val="20"/>
      <w:szCs w:val="20"/>
    </w:rPr>
  </w:style>
  <w:style w:type="character" w:styleId="Alaviitteenviite">
    <w:name w:val="footnote reference"/>
    <w:basedOn w:val="Kappaleenoletusfontti"/>
    <w:uiPriority w:val="99"/>
    <w:semiHidden/>
    <w:unhideWhenUsed/>
    <w:rsid w:val="00A14995"/>
    <w:rPr>
      <w:vertAlign w:val="superscript"/>
    </w:rPr>
  </w:style>
  <w:style w:type="paragraph" w:styleId="Sisllysluettelonotsikko">
    <w:name w:val="TOC Heading"/>
    <w:basedOn w:val="Otsikko1"/>
    <w:next w:val="Normaali"/>
    <w:uiPriority w:val="39"/>
    <w:unhideWhenUsed/>
    <w:qFormat/>
    <w:rsid w:val="00C272F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isluet1">
    <w:name w:val="toc 1"/>
    <w:basedOn w:val="Normaali"/>
    <w:next w:val="Normaali"/>
    <w:autoRedefine/>
    <w:uiPriority w:val="39"/>
    <w:unhideWhenUsed/>
    <w:rsid w:val="00C272F0"/>
    <w:pPr>
      <w:spacing w:after="100"/>
    </w:pPr>
  </w:style>
  <w:style w:type="paragraph" w:customStyle="1" w:styleId="xxmsonormal">
    <w:name w:val="xxmsonormal"/>
    <w:basedOn w:val="Normaali"/>
    <w:rsid w:val="000F6F22"/>
    <w:pPr>
      <w:spacing w:after="0" w:line="240" w:lineRule="auto"/>
    </w:pPr>
    <w:rPr>
      <w:rFonts w:ascii="Calibri" w:hAnsi="Calibri" w:cs="Calibri"/>
      <w:lang w:eastAsia="fi-FI"/>
    </w:rPr>
  </w:style>
  <w:style w:type="paragraph" w:customStyle="1" w:styleId="xmsonormal">
    <w:name w:val="x_msonormal"/>
    <w:basedOn w:val="Normaali"/>
    <w:rsid w:val="00C12CC9"/>
    <w:pPr>
      <w:spacing w:after="0"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3878">
      <w:bodyDiv w:val="1"/>
      <w:marLeft w:val="0"/>
      <w:marRight w:val="0"/>
      <w:marTop w:val="0"/>
      <w:marBottom w:val="0"/>
      <w:divBdr>
        <w:top w:val="none" w:sz="0" w:space="0" w:color="auto"/>
        <w:left w:val="none" w:sz="0" w:space="0" w:color="auto"/>
        <w:bottom w:val="none" w:sz="0" w:space="0" w:color="auto"/>
        <w:right w:val="none" w:sz="0" w:space="0" w:color="auto"/>
      </w:divBdr>
      <w:divsChild>
        <w:div w:id="2041776128">
          <w:marLeft w:val="0"/>
          <w:marRight w:val="0"/>
          <w:marTop w:val="0"/>
          <w:marBottom w:val="0"/>
          <w:divBdr>
            <w:top w:val="none" w:sz="0" w:space="0" w:color="auto"/>
            <w:left w:val="none" w:sz="0" w:space="0" w:color="auto"/>
            <w:bottom w:val="none" w:sz="0" w:space="0" w:color="auto"/>
            <w:right w:val="none" w:sz="0" w:space="0" w:color="auto"/>
          </w:divBdr>
        </w:div>
      </w:divsChild>
    </w:div>
    <w:div w:id="206651524">
      <w:bodyDiv w:val="1"/>
      <w:marLeft w:val="0"/>
      <w:marRight w:val="0"/>
      <w:marTop w:val="0"/>
      <w:marBottom w:val="0"/>
      <w:divBdr>
        <w:top w:val="none" w:sz="0" w:space="0" w:color="auto"/>
        <w:left w:val="none" w:sz="0" w:space="0" w:color="auto"/>
        <w:bottom w:val="none" w:sz="0" w:space="0" w:color="auto"/>
        <w:right w:val="none" w:sz="0" w:space="0" w:color="auto"/>
      </w:divBdr>
    </w:div>
    <w:div w:id="238058069">
      <w:bodyDiv w:val="1"/>
      <w:marLeft w:val="0"/>
      <w:marRight w:val="0"/>
      <w:marTop w:val="0"/>
      <w:marBottom w:val="0"/>
      <w:divBdr>
        <w:top w:val="none" w:sz="0" w:space="0" w:color="auto"/>
        <w:left w:val="none" w:sz="0" w:space="0" w:color="auto"/>
        <w:bottom w:val="none" w:sz="0" w:space="0" w:color="auto"/>
        <w:right w:val="none" w:sz="0" w:space="0" w:color="auto"/>
      </w:divBdr>
    </w:div>
    <w:div w:id="628439801">
      <w:bodyDiv w:val="1"/>
      <w:marLeft w:val="0"/>
      <w:marRight w:val="0"/>
      <w:marTop w:val="0"/>
      <w:marBottom w:val="0"/>
      <w:divBdr>
        <w:top w:val="none" w:sz="0" w:space="0" w:color="auto"/>
        <w:left w:val="none" w:sz="0" w:space="0" w:color="auto"/>
        <w:bottom w:val="none" w:sz="0" w:space="0" w:color="auto"/>
        <w:right w:val="none" w:sz="0" w:space="0" w:color="auto"/>
      </w:divBdr>
      <w:divsChild>
        <w:div w:id="1222249088">
          <w:marLeft w:val="0"/>
          <w:marRight w:val="0"/>
          <w:marTop w:val="100"/>
          <w:marBottom w:val="300"/>
          <w:divBdr>
            <w:top w:val="none" w:sz="0" w:space="0" w:color="auto"/>
            <w:left w:val="none" w:sz="0" w:space="0" w:color="auto"/>
            <w:bottom w:val="none" w:sz="0" w:space="0" w:color="auto"/>
            <w:right w:val="none" w:sz="0" w:space="0" w:color="auto"/>
          </w:divBdr>
          <w:divsChild>
            <w:div w:id="388921087">
              <w:marLeft w:val="0"/>
              <w:marRight w:val="0"/>
              <w:marTop w:val="0"/>
              <w:marBottom w:val="0"/>
              <w:divBdr>
                <w:top w:val="none" w:sz="0" w:space="0" w:color="auto"/>
                <w:left w:val="none" w:sz="0" w:space="0" w:color="auto"/>
                <w:bottom w:val="none" w:sz="0" w:space="0" w:color="auto"/>
                <w:right w:val="none" w:sz="0" w:space="0" w:color="auto"/>
              </w:divBdr>
              <w:divsChild>
                <w:div w:id="1376544012">
                  <w:marLeft w:val="0"/>
                  <w:marRight w:val="0"/>
                  <w:marTop w:val="0"/>
                  <w:marBottom w:val="0"/>
                  <w:divBdr>
                    <w:top w:val="none" w:sz="0" w:space="0" w:color="auto"/>
                    <w:left w:val="none" w:sz="0" w:space="0" w:color="auto"/>
                    <w:bottom w:val="none" w:sz="0" w:space="0" w:color="auto"/>
                    <w:right w:val="none" w:sz="0" w:space="0" w:color="auto"/>
                  </w:divBdr>
                  <w:divsChild>
                    <w:div w:id="180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7130">
          <w:marLeft w:val="0"/>
          <w:marRight w:val="0"/>
          <w:marTop w:val="100"/>
          <w:marBottom w:val="300"/>
          <w:divBdr>
            <w:top w:val="none" w:sz="0" w:space="0" w:color="auto"/>
            <w:left w:val="none" w:sz="0" w:space="0" w:color="auto"/>
            <w:bottom w:val="none" w:sz="0" w:space="0" w:color="auto"/>
            <w:right w:val="none" w:sz="0" w:space="0" w:color="auto"/>
          </w:divBdr>
          <w:divsChild>
            <w:div w:id="1180391006">
              <w:marLeft w:val="0"/>
              <w:marRight w:val="0"/>
              <w:marTop w:val="0"/>
              <w:marBottom w:val="0"/>
              <w:divBdr>
                <w:top w:val="none" w:sz="0" w:space="0" w:color="auto"/>
                <w:left w:val="none" w:sz="0" w:space="0" w:color="auto"/>
                <w:bottom w:val="none" w:sz="0" w:space="0" w:color="auto"/>
                <w:right w:val="none" w:sz="0" w:space="0" w:color="auto"/>
              </w:divBdr>
              <w:divsChild>
                <w:div w:id="2045597287">
                  <w:marLeft w:val="0"/>
                  <w:marRight w:val="0"/>
                  <w:marTop w:val="0"/>
                  <w:marBottom w:val="0"/>
                  <w:divBdr>
                    <w:top w:val="none" w:sz="0" w:space="0" w:color="auto"/>
                    <w:left w:val="none" w:sz="0" w:space="0" w:color="auto"/>
                    <w:bottom w:val="none" w:sz="0" w:space="0" w:color="auto"/>
                    <w:right w:val="none" w:sz="0" w:space="0" w:color="auto"/>
                  </w:divBdr>
                  <w:divsChild>
                    <w:div w:id="17109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47283">
      <w:bodyDiv w:val="1"/>
      <w:marLeft w:val="0"/>
      <w:marRight w:val="0"/>
      <w:marTop w:val="0"/>
      <w:marBottom w:val="0"/>
      <w:divBdr>
        <w:top w:val="none" w:sz="0" w:space="0" w:color="auto"/>
        <w:left w:val="none" w:sz="0" w:space="0" w:color="auto"/>
        <w:bottom w:val="none" w:sz="0" w:space="0" w:color="auto"/>
        <w:right w:val="none" w:sz="0" w:space="0" w:color="auto"/>
      </w:divBdr>
    </w:div>
    <w:div w:id="806438043">
      <w:bodyDiv w:val="1"/>
      <w:marLeft w:val="0"/>
      <w:marRight w:val="0"/>
      <w:marTop w:val="0"/>
      <w:marBottom w:val="0"/>
      <w:divBdr>
        <w:top w:val="none" w:sz="0" w:space="0" w:color="auto"/>
        <w:left w:val="none" w:sz="0" w:space="0" w:color="auto"/>
        <w:bottom w:val="none" w:sz="0" w:space="0" w:color="auto"/>
        <w:right w:val="none" w:sz="0" w:space="0" w:color="auto"/>
      </w:divBdr>
    </w:div>
    <w:div w:id="843664827">
      <w:bodyDiv w:val="1"/>
      <w:marLeft w:val="0"/>
      <w:marRight w:val="0"/>
      <w:marTop w:val="0"/>
      <w:marBottom w:val="0"/>
      <w:divBdr>
        <w:top w:val="none" w:sz="0" w:space="0" w:color="auto"/>
        <w:left w:val="none" w:sz="0" w:space="0" w:color="auto"/>
        <w:bottom w:val="none" w:sz="0" w:space="0" w:color="auto"/>
        <w:right w:val="none" w:sz="0" w:space="0" w:color="auto"/>
      </w:divBdr>
    </w:div>
    <w:div w:id="911621138">
      <w:bodyDiv w:val="1"/>
      <w:marLeft w:val="0"/>
      <w:marRight w:val="0"/>
      <w:marTop w:val="0"/>
      <w:marBottom w:val="0"/>
      <w:divBdr>
        <w:top w:val="none" w:sz="0" w:space="0" w:color="auto"/>
        <w:left w:val="none" w:sz="0" w:space="0" w:color="auto"/>
        <w:bottom w:val="none" w:sz="0" w:space="0" w:color="auto"/>
        <w:right w:val="none" w:sz="0" w:space="0" w:color="auto"/>
      </w:divBdr>
      <w:divsChild>
        <w:div w:id="496653152">
          <w:marLeft w:val="0"/>
          <w:marRight w:val="0"/>
          <w:marTop w:val="0"/>
          <w:marBottom w:val="0"/>
          <w:divBdr>
            <w:top w:val="none" w:sz="0" w:space="0" w:color="auto"/>
            <w:left w:val="none" w:sz="0" w:space="0" w:color="auto"/>
            <w:bottom w:val="none" w:sz="0" w:space="0" w:color="auto"/>
            <w:right w:val="none" w:sz="0" w:space="0" w:color="auto"/>
          </w:divBdr>
        </w:div>
      </w:divsChild>
    </w:div>
    <w:div w:id="1230768177">
      <w:bodyDiv w:val="1"/>
      <w:marLeft w:val="0"/>
      <w:marRight w:val="0"/>
      <w:marTop w:val="0"/>
      <w:marBottom w:val="0"/>
      <w:divBdr>
        <w:top w:val="none" w:sz="0" w:space="0" w:color="auto"/>
        <w:left w:val="none" w:sz="0" w:space="0" w:color="auto"/>
        <w:bottom w:val="none" w:sz="0" w:space="0" w:color="auto"/>
        <w:right w:val="none" w:sz="0" w:space="0" w:color="auto"/>
      </w:divBdr>
    </w:div>
    <w:div w:id="1300649015">
      <w:bodyDiv w:val="1"/>
      <w:marLeft w:val="0"/>
      <w:marRight w:val="0"/>
      <w:marTop w:val="0"/>
      <w:marBottom w:val="0"/>
      <w:divBdr>
        <w:top w:val="none" w:sz="0" w:space="0" w:color="auto"/>
        <w:left w:val="none" w:sz="0" w:space="0" w:color="auto"/>
        <w:bottom w:val="none" w:sz="0" w:space="0" w:color="auto"/>
        <w:right w:val="none" w:sz="0" w:space="0" w:color="auto"/>
      </w:divBdr>
    </w:div>
    <w:div w:id="1361511700">
      <w:bodyDiv w:val="1"/>
      <w:marLeft w:val="0"/>
      <w:marRight w:val="0"/>
      <w:marTop w:val="0"/>
      <w:marBottom w:val="0"/>
      <w:divBdr>
        <w:top w:val="none" w:sz="0" w:space="0" w:color="auto"/>
        <w:left w:val="none" w:sz="0" w:space="0" w:color="auto"/>
        <w:bottom w:val="none" w:sz="0" w:space="0" w:color="auto"/>
        <w:right w:val="none" w:sz="0" w:space="0" w:color="auto"/>
      </w:divBdr>
    </w:div>
    <w:div w:id="1369529382">
      <w:bodyDiv w:val="1"/>
      <w:marLeft w:val="0"/>
      <w:marRight w:val="0"/>
      <w:marTop w:val="0"/>
      <w:marBottom w:val="0"/>
      <w:divBdr>
        <w:top w:val="none" w:sz="0" w:space="0" w:color="auto"/>
        <w:left w:val="none" w:sz="0" w:space="0" w:color="auto"/>
        <w:bottom w:val="none" w:sz="0" w:space="0" w:color="auto"/>
        <w:right w:val="none" w:sz="0" w:space="0" w:color="auto"/>
      </w:divBdr>
    </w:div>
    <w:div w:id="1421219327">
      <w:bodyDiv w:val="1"/>
      <w:marLeft w:val="0"/>
      <w:marRight w:val="0"/>
      <w:marTop w:val="0"/>
      <w:marBottom w:val="0"/>
      <w:divBdr>
        <w:top w:val="none" w:sz="0" w:space="0" w:color="auto"/>
        <w:left w:val="none" w:sz="0" w:space="0" w:color="auto"/>
        <w:bottom w:val="none" w:sz="0" w:space="0" w:color="auto"/>
        <w:right w:val="none" w:sz="0" w:space="0" w:color="auto"/>
      </w:divBdr>
    </w:div>
    <w:div w:id="1476484205">
      <w:bodyDiv w:val="1"/>
      <w:marLeft w:val="0"/>
      <w:marRight w:val="0"/>
      <w:marTop w:val="0"/>
      <w:marBottom w:val="0"/>
      <w:divBdr>
        <w:top w:val="none" w:sz="0" w:space="0" w:color="auto"/>
        <w:left w:val="none" w:sz="0" w:space="0" w:color="auto"/>
        <w:bottom w:val="none" w:sz="0" w:space="0" w:color="auto"/>
        <w:right w:val="none" w:sz="0" w:space="0" w:color="auto"/>
      </w:divBdr>
      <w:divsChild>
        <w:div w:id="1631545280">
          <w:marLeft w:val="288"/>
          <w:marRight w:val="0"/>
          <w:marTop w:val="200"/>
          <w:marBottom w:val="0"/>
          <w:divBdr>
            <w:top w:val="none" w:sz="0" w:space="0" w:color="auto"/>
            <w:left w:val="none" w:sz="0" w:space="0" w:color="auto"/>
            <w:bottom w:val="none" w:sz="0" w:space="0" w:color="auto"/>
            <w:right w:val="none" w:sz="0" w:space="0" w:color="auto"/>
          </w:divBdr>
        </w:div>
      </w:divsChild>
    </w:div>
    <w:div w:id="1626931425">
      <w:bodyDiv w:val="1"/>
      <w:marLeft w:val="0"/>
      <w:marRight w:val="0"/>
      <w:marTop w:val="0"/>
      <w:marBottom w:val="0"/>
      <w:divBdr>
        <w:top w:val="none" w:sz="0" w:space="0" w:color="auto"/>
        <w:left w:val="none" w:sz="0" w:space="0" w:color="auto"/>
        <w:bottom w:val="none" w:sz="0" w:space="0" w:color="auto"/>
        <w:right w:val="none" w:sz="0" w:space="0" w:color="auto"/>
      </w:divBdr>
    </w:div>
    <w:div w:id="1671104734">
      <w:bodyDiv w:val="1"/>
      <w:marLeft w:val="0"/>
      <w:marRight w:val="0"/>
      <w:marTop w:val="0"/>
      <w:marBottom w:val="0"/>
      <w:divBdr>
        <w:top w:val="none" w:sz="0" w:space="0" w:color="auto"/>
        <w:left w:val="none" w:sz="0" w:space="0" w:color="auto"/>
        <w:bottom w:val="none" w:sz="0" w:space="0" w:color="auto"/>
        <w:right w:val="none" w:sz="0" w:space="0" w:color="auto"/>
      </w:divBdr>
    </w:div>
    <w:div w:id="1841002572">
      <w:bodyDiv w:val="1"/>
      <w:marLeft w:val="0"/>
      <w:marRight w:val="0"/>
      <w:marTop w:val="0"/>
      <w:marBottom w:val="0"/>
      <w:divBdr>
        <w:top w:val="none" w:sz="0" w:space="0" w:color="auto"/>
        <w:left w:val="none" w:sz="0" w:space="0" w:color="auto"/>
        <w:bottom w:val="none" w:sz="0" w:space="0" w:color="auto"/>
        <w:right w:val="none" w:sz="0" w:space="0" w:color="auto"/>
      </w:divBdr>
    </w:div>
    <w:div w:id="1867211837">
      <w:bodyDiv w:val="1"/>
      <w:marLeft w:val="0"/>
      <w:marRight w:val="0"/>
      <w:marTop w:val="0"/>
      <w:marBottom w:val="0"/>
      <w:divBdr>
        <w:top w:val="none" w:sz="0" w:space="0" w:color="auto"/>
        <w:left w:val="none" w:sz="0" w:space="0" w:color="auto"/>
        <w:bottom w:val="none" w:sz="0" w:space="0" w:color="auto"/>
        <w:right w:val="none" w:sz="0" w:space="0" w:color="auto"/>
      </w:divBdr>
    </w:div>
    <w:div w:id="1909732180">
      <w:bodyDiv w:val="1"/>
      <w:marLeft w:val="0"/>
      <w:marRight w:val="0"/>
      <w:marTop w:val="0"/>
      <w:marBottom w:val="0"/>
      <w:divBdr>
        <w:top w:val="none" w:sz="0" w:space="0" w:color="auto"/>
        <w:left w:val="none" w:sz="0" w:space="0" w:color="auto"/>
        <w:bottom w:val="none" w:sz="0" w:space="0" w:color="auto"/>
        <w:right w:val="none" w:sz="0" w:space="0" w:color="auto"/>
      </w:divBdr>
    </w:div>
    <w:div w:id="1941376809">
      <w:bodyDiv w:val="1"/>
      <w:marLeft w:val="0"/>
      <w:marRight w:val="0"/>
      <w:marTop w:val="0"/>
      <w:marBottom w:val="0"/>
      <w:divBdr>
        <w:top w:val="none" w:sz="0" w:space="0" w:color="auto"/>
        <w:left w:val="none" w:sz="0" w:space="0" w:color="auto"/>
        <w:bottom w:val="none" w:sz="0" w:space="0" w:color="auto"/>
        <w:right w:val="none" w:sz="0" w:space="0" w:color="auto"/>
      </w:divBdr>
    </w:div>
    <w:div w:id="19956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fi/puheet/-/asset_publisher/up7ecZeXFRAS/content/ulkoministeri-haaviston-puhe-valtioneuvoston-ihmisoikeusselonteon-kuulemistilaisuudessa" TargetMode="External"/><Relationship Id="rId18" Type="http://schemas.openxmlformats.org/officeDocument/2006/relationships/hyperlink" Target="https://www.helsinki.fi/fi/uutiset/talous-yhteiskunta/tutkimushanke-ikaantyvien-oikeusongelmista-ja-oikeudensaantimahdollisuuksista" TargetMode="External"/><Relationship Id="rId26" Type="http://schemas.openxmlformats.org/officeDocument/2006/relationships/hyperlink" Target="http://ennhri.org/" TargetMode="External"/><Relationship Id="rId21" Type="http://schemas.openxmlformats.org/officeDocument/2006/relationships/hyperlink" Target="http://www.icla.up.ac.za/research/impact-of-the-un-human-rights-treaties-on-domestic-leve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ikeusministerio.fi/documents/1410853/4735105/ihmisoikeusselonteko+2014+p%C3%A5+svenska.pdf/99093dee-9780-4544-b3bb-9bb59e65c9bb/ihmisoikeusselonteko+2014+p%C3%A5+svenska.pdf" TargetMode="External"/><Relationship Id="rId17" Type="http://schemas.openxmlformats.org/officeDocument/2006/relationships/hyperlink" Target="https://oikeusministerio.fi/sv/projekt?tunnus=OM040:00/2018" TargetMode="External"/><Relationship Id="rId25" Type="http://schemas.openxmlformats.org/officeDocument/2006/relationships/hyperlink" Target="http://ennhri.org/wp-content/uploads/2020/05/The-rule-of-law-in-the-European-Union-Reports-from-NHRIs-11-May-2020-public.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johannakare.com/" TargetMode="External"/><Relationship Id="rId20" Type="http://schemas.openxmlformats.org/officeDocument/2006/relationships/hyperlink" Target="https://www.hanken.fi/sv/node/2408911" TargetMode="External"/><Relationship Id="rId29" Type="http://schemas.openxmlformats.org/officeDocument/2006/relationships/hyperlink" Target="http://ennhri.org/our-work/topics/democracy-and-rule-of-la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keusministerio.fi/sv/politiken-for-grundlaggande-och-manskliga-rattigheter" TargetMode="External"/><Relationship Id="rId24" Type="http://schemas.openxmlformats.org/officeDocument/2006/relationships/hyperlink" Target="https://ec.europa.eu/finland/news/rol_200930_s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nniskorattscentret.fi/utbildning/" TargetMode="External"/><Relationship Id="rId23" Type="http://schemas.openxmlformats.org/officeDocument/2006/relationships/hyperlink" Target="https://www.ihmisoikeuskeskus.fi/?x5984785=9630389" TargetMode="External"/><Relationship Id="rId28" Type="http://schemas.openxmlformats.org/officeDocument/2006/relationships/hyperlink" Target="http://ennhri.org/wp-content/uploads/2020/10/Third-Party-Interventions-Before-the-European-Court-of-Human-Rights-Guide-for-NHRI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hmisoikeuskeskus.fi/?x5822114=9941927"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san.villa/AppData/Local/Microsoft/Windows/INetCache/Content.Outlook/DN47BHJX/%20https/www.helsinki.fi/fi/projektit/ihmisoikeudet-demokratia-arvot-ja-dialogi-kasvatuksessa" TargetMode="External"/><Relationship Id="rId22" Type="http://schemas.openxmlformats.org/officeDocument/2006/relationships/hyperlink" Target="http://www.icla.up.ac.za/the-impact-study/publications" TargetMode="External"/><Relationship Id="rId27" Type="http://schemas.openxmlformats.org/officeDocument/2006/relationships/hyperlink" Target="https://www.ihmisoikeuskeskus.fi/?x5822114=9108275"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1C81213414224EA1C15EF2CDE3204A" ma:contentTypeVersion="0" ma:contentTypeDescription="Create a new document." ma:contentTypeScope="" ma:versionID="bfb560b8b0bfc6a22a97850c2bd020c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1C4DEF-E2D7-4730-8E0E-ACD95AC34A4D}">
  <ds:schemaRefs>
    <ds:schemaRef ds:uri="http://schemas.microsoft.com/sharepoint/v3/contenttype/forms"/>
  </ds:schemaRefs>
</ds:datastoreItem>
</file>

<file path=customXml/itemProps2.xml><?xml version="1.0" encoding="utf-8"?>
<ds:datastoreItem xmlns:ds="http://schemas.openxmlformats.org/officeDocument/2006/customXml" ds:itemID="{35C04522-DEE0-4EE9-8B6A-E371A1287A1F}">
  <ds:schemaRefs>
    <ds:schemaRef ds:uri="http://schemas.microsoft.com/office/2006/metadata/properties"/>
  </ds:schemaRefs>
</ds:datastoreItem>
</file>

<file path=customXml/itemProps3.xml><?xml version="1.0" encoding="utf-8"?>
<ds:datastoreItem xmlns:ds="http://schemas.openxmlformats.org/officeDocument/2006/customXml" ds:itemID="{584E0AEC-0C22-4167-AF4C-D98A6AD976E4}">
  <ds:schemaRefs>
    <ds:schemaRef ds:uri="http://schemas.openxmlformats.org/officeDocument/2006/bibliography"/>
  </ds:schemaRefs>
</ds:datastoreItem>
</file>

<file path=customXml/itemProps4.xml><?xml version="1.0" encoding="utf-8"?>
<ds:datastoreItem xmlns:ds="http://schemas.openxmlformats.org/officeDocument/2006/customXml" ds:itemID="{34B856B1-B766-43D3-A3B2-29A8BDD4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1752</Words>
  <Characters>14196</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Susan</dc:creator>
  <cp:keywords/>
  <dc:description/>
  <cp:lastModifiedBy>Kupiainen Emmi</cp:lastModifiedBy>
  <cp:revision>4</cp:revision>
  <dcterms:created xsi:type="dcterms:W3CDTF">2021-01-29T13:19:00Z</dcterms:created>
  <dcterms:modified xsi:type="dcterms:W3CDTF">2021-01-29T14:21:00Z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0x010100EA1C81213414224EA1C15EF2CDE3204A</vt:lpwstr>
  </property>
</Properties>
</file>