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0434" w14:textId="630FA18A" w:rsidR="001A1B89" w:rsidRDefault="001A1B89" w:rsidP="001A1B89">
      <w:pPr>
        <w:rPr>
          <w:rFonts w:ascii="Arial" w:hAnsi="Arial"/>
          <w:b/>
          <w:color w:val="CB5913"/>
          <w:sz w:val="20"/>
          <w:szCs w:val="20"/>
          <w:u w:val="single"/>
        </w:rPr>
      </w:pPr>
      <w:r w:rsidRPr="001A0E56">
        <w:rPr>
          <w:rFonts w:ascii="Arial" w:hAnsi="Arial"/>
          <w:b/>
          <w:color w:val="CB5913"/>
          <w:sz w:val="20"/>
          <w:szCs w:val="20"/>
          <w:u w:val="single"/>
        </w:rPr>
        <w:t>Öppna beslut av Europadomstolen</w:t>
      </w:r>
      <w:r w:rsidR="002A254A">
        <w:rPr>
          <w:rFonts w:ascii="Arial" w:hAnsi="Arial"/>
          <w:b/>
          <w:color w:val="CB5913"/>
          <w:sz w:val="20"/>
          <w:szCs w:val="20"/>
          <w:u w:val="single"/>
        </w:rPr>
        <w:t xml:space="preserve"> </w:t>
      </w:r>
      <w:r w:rsidRPr="001A0E56">
        <w:rPr>
          <w:rFonts w:ascii="Arial" w:hAnsi="Arial"/>
          <w:b/>
          <w:color w:val="CB5913"/>
          <w:sz w:val="20"/>
          <w:szCs w:val="20"/>
          <w:u w:val="single"/>
        </w:rPr>
        <w:t xml:space="preserve">– sammanställning </w:t>
      </w:r>
    </w:p>
    <w:p w14:paraId="68FCFE6D" w14:textId="77777777" w:rsidR="001A1B89" w:rsidRPr="001A0E56" w:rsidRDefault="001A1B89" w:rsidP="001A1B89">
      <w:pPr>
        <w:rPr>
          <w:rFonts w:ascii="Arial" w:hAnsi="Arial" w:cs="Arial"/>
          <w:b/>
          <w:bCs/>
          <w:color w:val="CB5913"/>
          <w:sz w:val="20"/>
          <w:szCs w:val="20"/>
          <w:u w:val="single"/>
        </w:rPr>
      </w:pPr>
    </w:p>
    <w:p w14:paraId="4CB99D00" w14:textId="77777777" w:rsidR="001A1B89" w:rsidRPr="00D531D9" w:rsidRDefault="001A1B89" w:rsidP="001A1B89">
      <w:pPr>
        <w:rPr>
          <w:rFonts w:ascii="Arial" w:hAnsi="Arial" w:cs="Arial"/>
          <w:b/>
          <w:bCs/>
          <w:sz w:val="18"/>
          <w:szCs w:val="18"/>
        </w:rPr>
      </w:pPr>
      <w:r w:rsidRPr="00D531D9">
        <w:rPr>
          <w:rFonts w:ascii="Arial" w:hAnsi="Arial"/>
          <w:b/>
          <w:sz w:val="18"/>
          <w:szCs w:val="18"/>
        </w:rPr>
        <w:t>Europadomstolens avgöranden gällande Finland som väntar på verkställande</w:t>
      </w:r>
      <w:r>
        <w:rPr>
          <w:rFonts w:ascii="Arial" w:hAnsi="Arial"/>
          <w:b/>
          <w:sz w:val="18"/>
          <w:szCs w:val="18"/>
        </w:rPr>
        <w:t>s</w:t>
      </w:r>
    </w:p>
    <w:p w14:paraId="07C8D714" w14:textId="77777777" w:rsidR="001A1B89" w:rsidRPr="00D531D9" w:rsidRDefault="001A1B89" w:rsidP="001A1B89">
      <w:pPr>
        <w:rPr>
          <w:rFonts w:ascii="Arial" w:hAnsi="Arial" w:cs="Arial"/>
          <w:sz w:val="18"/>
          <w:szCs w:val="18"/>
        </w:rPr>
      </w:pPr>
      <w:r w:rsidRPr="00D531D9">
        <w:rPr>
          <w:rFonts w:ascii="Arial" w:hAnsi="Arial"/>
          <w:sz w:val="18"/>
          <w:szCs w:val="18"/>
        </w:rPr>
        <w:t xml:space="preserve">(IM = åtgärder på individnivå, GM = allmänna åtgärder, CM = ministerkommittén, EMD = Europeiska domstolen för de mänskliga rättigheterna) </w:t>
      </w:r>
    </w:p>
    <w:tbl>
      <w:tblPr>
        <w:tblStyle w:val="TaulukkoRuudukko"/>
        <w:tblpPr w:leftFromText="141" w:rightFromText="141" w:vertAnchor="text" w:tblpY="1"/>
        <w:tblOverlap w:val="never"/>
        <w:tblW w:w="13994" w:type="dxa"/>
        <w:tblLook w:val="04A0" w:firstRow="1" w:lastRow="0" w:firstColumn="1" w:lastColumn="0" w:noHBand="0" w:noVBand="1"/>
      </w:tblPr>
      <w:tblGrid>
        <w:gridCol w:w="2239"/>
        <w:gridCol w:w="2329"/>
        <w:gridCol w:w="3224"/>
        <w:gridCol w:w="3260"/>
        <w:gridCol w:w="2942"/>
      </w:tblGrid>
      <w:tr w:rsidR="001A1B89" w:rsidRPr="003818E8" w14:paraId="58BEC6BB" w14:textId="77777777" w:rsidTr="00A47015">
        <w:tc>
          <w:tcPr>
            <w:tcW w:w="2239" w:type="dxa"/>
          </w:tcPr>
          <w:p w14:paraId="3EEFD815"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Fall</w:t>
            </w:r>
          </w:p>
        </w:tc>
        <w:tc>
          <w:tcPr>
            <w:tcW w:w="2329" w:type="dxa"/>
          </w:tcPr>
          <w:p w14:paraId="124171DA"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Slutlig dom</w:t>
            </w:r>
          </w:p>
        </w:tc>
        <w:tc>
          <w:tcPr>
            <w:tcW w:w="3224" w:type="dxa"/>
          </w:tcPr>
          <w:p w14:paraId="73B971F6"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Överträdelse och innehåll</w:t>
            </w:r>
          </w:p>
        </w:tc>
        <w:tc>
          <w:tcPr>
            <w:tcW w:w="3260" w:type="dxa"/>
          </w:tcPr>
          <w:p w14:paraId="2C55EC4B"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Åtgärder</w:t>
            </w:r>
          </w:p>
        </w:tc>
        <w:tc>
          <w:tcPr>
            <w:tcW w:w="2942" w:type="dxa"/>
          </w:tcPr>
          <w:p w14:paraId="7756D1E2" w14:textId="77777777" w:rsidR="001A1B89" w:rsidRPr="003818E8" w:rsidRDefault="001A1B89" w:rsidP="00A47015">
            <w:pPr>
              <w:rPr>
                <w:rFonts w:ascii="Arial" w:hAnsi="Arial" w:cs="Arial"/>
                <w:b/>
                <w:sz w:val="18"/>
                <w:szCs w:val="18"/>
              </w:rPr>
            </w:pPr>
            <w:r w:rsidRPr="003818E8">
              <w:rPr>
                <w:rFonts w:ascii="Arial" w:hAnsi="Arial" w:cs="Arial"/>
                <w:b/>
                <w:sz w:val="18"/>
                <w:szCs w:val="18"/>
              </w:rPr>
              <w:t>Additionell information</w:t>
            </w:r>
          </w:p>
        </w:tc>
      </w:tr>
      <w:tr w:rsidR="001A1B89" w:rsidRPr="003818E8" w14:paraId="21B2C867" w14:textId="77777777" w:rsidTr="00A47015">
        <w:tc>
          <w:tcPr>
            <w:tcW w:w="2239" w:type="dxa"/>
          </w:tcPr>
          <w:p w14:paraId="29DAE90C" w14:textId="77777777" w:rsidR="001A1B89" w:rsidRPr="003818E8" w:rsidRDefault="001A1B89" w:rsidP="00A47015">
            <w:pPr>
              <w:rPr>
                <w:rFonts w:ascii="Arial" w:hAnsi="Arial" w:cs="Arial"/>
                <w:sz w:val="18"/>
                <w:szCs w:val="18"/>
              </w:rPr>
            </w:pPr>
            <w:proofErr w:type="spellStart"/>
            <w:r w:rsidRPr="003818E8">
              <w:rPr>
                <w:rFonts w:ascii="Arial" w:hAnsi="Arial" w:cs="Arial"/>
                <w:b/>
                <w:sz w:val="18"/>
                <w:szCs w:val="18"/>
              </w:rPr>
              <w:t>Kotilainen</w:t>
            </w:r>
            <w:proofErr w:type="spellEnd"/>
            <w:r w:rsidRPr="003818E8">
              <w:rPr>
                <w:rFonts w:ascii="Arial" w:hAnsi="Arial" w:cs="Arial"/>
                <w:b/>
                <w:sz w:val="18"/>
                <w:szCs w:val="18"/>
              </w:rPr>
              <w:t xml:space="preserve"> med flera mot Finland</w:t>
            </w:r>
            <w:r w:rsidRPr="003818E8">
              <w:rPr>
                <w:rFonts w:ascii="Arial" w:hAnsi="Arial" w:cs="Arial"/>
                <w:sz w:val="18"/>
                <w:szCs w:val="18"/>
              </w:rPr>
              <w:t xml:space="preserve"> (</w:t>
            </w:r>
            <w:hyperlink r:id="rId7" w:history="1">
              <w:proofErr w:type="gramStart"/>
              <w:r w:rsidRPr="003818E8">
                <w:rPr>
                  <w:rFonts w:ascii="Arial" w:hAnsi="Arial" w:cs="Arial"/>
                  <w:color w:val="0563C1" w:themeColor="hyperlink"/>
                  <w:sz w:val="18"/>
                  <w:szCs w:val="18"/>
                  <w:u w:val="single"/>
                </w:rPr>
                <w:t>62439</w:t>
              </w:r>
              <w:proofErr w:type="gramEnd"/>
              <w:r w:rsidRPr="003818E8">
                <w:rPr>
                  <w:rFonts w:ascii="Arial" w:hAnsi="Arial" w:cs="Arial"/>
                  <w:color w:val="0563C1" w:themeColor="hyperlink"/>
                  <w:sz w:val="18"/>
                  <w:szCs w:val="18"/>
                  <w:u w:val="single"/>
                </w:rPr>
                <w:t>/12</w:t>
              </w:r>
            </w:hyperlink>
            <w:r w:rsidRPr="003818E8">
              <w:rPr>
                <w:rFonts w:ascii="Arial" w:hAnsi="Arial" w:cs="Arial"/>
                <w:sz w:val="18"/>
                <w:szCs w:val="18"/>
              </w:rPr>
              <w:t>)</w:t>
            </w:r>
          </w:p>
          <w:p w14:paraId="4E2B4787" w14:textId="77777777" w:rsidR="001A1B89" w:rsidRPr="003818E8" w:rsidRDefault="001A1B89" w:rsidP="00A47015">
            <w:pPr>
              <w:rPr>
                <w:rFonts w:ascii="Arial" w:hAnsi="Arial" w:cs="Arial"/>
                <w:sz w:val="18"/>
                <w:szCs w:val="18"/>
              </w:rPr>
            </w:pPr>
          </w:p>
        </w:tc>
        <w:tc>
          <w:tcPr>
            <w:tcW w:w="2329" w:type="dxa"/>
          </w:tcPr>
          <w:p w14:paraId="6D63DB89" w14:textId="77777777" w:rsidR="001A1B89" w:rsidRPr="003818E8" w:rsidRDefault="001A1B89" w:rsidP="00A47015">
            <w:pPr>
              <w:rPr>
                <w:rFonts w:ascii="Arial" w:hAnsi="Arial" w:cs="Arial"/>
                <w:sz w:val="18"/>
                <w:szCs w:val="18"/>
              </w:rPr>
            </w:pPr>
            <w:r w:rsidRPr="003818E8">
              <w:rPr>
                <w:rFonts w:ascii="Arial" w:hAnsi="Arial" w:cs="Arial"/>
                <w:sz w:val="18"/>
                <w:szCs w:val="18"/>
              </w:rPr>
              <w:t>17.12.2020</w:t>
            </w:r>
          </w:p>
        </w:tc>
        <w:tc>
          <w:tcPr>
            <w:tcW w:w="3224" w:type="dxa"/>
          </w:tcPr>
          <w:p w14:paraId="2AE9FA47"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artikel 2</w:t>
            </w:r>
          </w:p>
          <w:p w14:paraId="6D3331A9" w14:textId="77777777" w:rsidR="001A1B89" w:rsidRPr="003818E8" w:rsidRDefault="001A1B89" w:rsidP="00A47015">
            <w:pPr>
              <w:rPr>
                <w:rFonts w:ascii="Arial" w:hAnsi="Arial" w:cs="Arial"/>
                <w:sz w:val="18"/>
                <w:szCs w:val="18"/>
              </w:rPr>
            </w:pPr>
            <w:r w:rsidRPr="003818E8">
              <w:rPr>
                <w:rFonts w:ascii="Arial" w:hAnsi="Arial" w:cs="Arial"/>
                <w:sz w:val="18"/>
                <w:szCs w:val="18"/>
              </w:rPr>
              <w:t>En släkting till de klagande hade avlidit i samband med en skolskjutning. Polisen hade inte i förväg beslagtagit vapnet trots att det på basis av skrivelser som vapnets innehavare hade skrivit på internet hade väckt misstankar om att vapnets innehavare inte var lämplig att äga ett vapen.</w:t>
            </w:r>
          </w:p>
        </w:tc>
        <w:tc>
          <w:tcPr>
            <w:tcW w:w="3260" w:type="dxa"/>
          </w:tcPr>
          <w:p w14:paraId="6004FF41" w14:textId="77777777" w:rsidR="001A1B89" w:rsidRPr="003818E8" w:rsidRDefault="001A1B89" w:rsidP="00A47015">
            <w:pPr>
              <w:rPr>
                <w:rFonts w:ascii="Arial" w:hAnsi="Arial" w:cs="Arial"/>
                <w:sz w:val="18"/>
                <w:szCs w:val="18"/>
              </w:rPr>
            </w:pPr>
            <w:r w:rsidRPr="003818E8">
              <w:rPr>
                <w:rFonts w:ascii="Arial" w:hAnsi="Arial" w:cs="Arial"/>
                <w:sz w:val="18"/>
                <w:szCs w:val="18"/>
              </w:rPr>
              <w:t>Regeringen har 18.6.2021 tillställt ministerkommittén sin handlingsrapport till mötet i september 2021.</w:t>
            </w:r>
          </w:p>
        </w:tc>
        <w:tc>
          <w:tcPr>
            <w:tcW w:w="2942" w:type="dxa"/>
          </w:tcPr>
          <w:p w14:paraId="3AC138F4" w14:textId="77777777" w:rsidR="001A1B89" w:rsidRPr="003818E8" w:rsidRDefault="001A1B89" w:rsidP="00A47015">
            <w:pPr>
              <w:rPr>
                <w:rFonts w:ascii="Arial" w:hAnsi="Arial" w:cs="Arial"/>
                <w:sz w:val="18"/>
                <w:szCs w:val="18"/>
              </w:rPr>
            </w:pPr>
          </w:p>
        </w:tc>
      </w:tr>
      <w:tr w:rsidR="001A1B89" w:rsidRPr="003818E8" w14:paraId="36B408F8" w14:textId="77777777" w:rsidTr="00A47015">
        <w:tc>
          <w:tcPr>
            <w:tcW w:w="2239" w:type="dxa"/>
          </w:tcPr>
          <w:p w14:paraId="62BED023" w14:textId="77777777" w:rsidR="001A1B89" w:rsidRPr="003818E8" w:rsidRDefault="001A1B89" w:rsidP="00A47015">
            <w:pPr>
              <w:rPr>
                <w:rFonts w:ascii="Arial" w:hAnsi="Arial" w:cs="Arial"/>
                <w:sz w:val="18"/>
                <w:szCs w:val="18"/>
              </w:rPr>
            </w:pPr>
            <w:r w:rsidRPr="003818E8">
              <w:rPr>
                <w:rFonts w:ascii="Arial" w:hAnsi="Arial" w:cs="Arial"/>
                <w:b/>
                <w:sz w:val="18"/>
                <w:szCs w:val="18"/>
              </w:rPr>
              <w:t>Nykänen mot Finland</w:t>
            </w:r>
            <w:r w:rsidRPr="003818E8">
              <w:rPr>
                <w:rFonts w:ascii="Arial" w:hAnsi="Arial" w:cs="Arial"/>
                <w:sz w:val="18"/>
                <w:szCs w:val="18"/>
              </w:rPr>
              <w:t xml:space="preserve"> (</w:t>
            </w:r>
            <w:hyperlink r:id="rId8" w:history="1">
              <w:proofErr w:type="gramStart"/>
              <w:r w:rsidRPr="003818E8">
                <w:rPr>
                  <w:rFonts w:ascii="Arial" w:hAnsi="Arial" w:cs="Arial"/>
                  <w:color w:val="0563C1" w:themeColor="hyperlink"/>
                  <w:sz w:val="18"/>
                  <w:szCs w:val="18"/>
                  <w:u w:val="single"/>
                </w:rPr>
                <w:t>11828</w:t>
              </w:r>
              <w:proofErr w:type="gramEnd"/>
              <w:r w:rsidRPr="003818E8">
                <w:rPr>
                  <w:rFonts w:ascii="Arial" w:hAnsi="Arial" w:cs="Arial"/>
                  <w:color w:val="0563C1" w:themeColor="hyperlink"/>
                  <w:sz w:val="18"/>
                  <w:szCs w:val="18"/>
                  <w:u w:val="single"/>
                </w:rPr>
                <w:t>/11</w:t>
              </w:r>
            </w:hyperlink>
            <w:r w:rsidRPr="003818E8">
              <w:rPr>
                <w:rFonts w:ascii="Arial" w:hAnsi="Arial" w:cs="Arial"/>
                <w:sz w:val="18"/>
                <w:szCs w:val="18"/>
              </w:rPr>
              <w:t>)</w:t>
            </w:r>
          </w:p>
          <w:p w14:paraId="4D43BBCF" w14:textId="77777777" w:rsidR="001A1B89" w:rsidRPr="003818E8" w:rsidRDefault="001A1B89" w:rsidP="00A47015">
            <w:pPr>
              <w:numPr>
                <w:ilvl w:val="0"/>
                <w:numId w:val="2"/>
              </w:numPr>
              <w:contextualSpacing/>
              <w:rPr>
                <w:rFonts w:ascii="Arial" w:hAnsi="Arial" w:cs="Arial"/>
                <w:sz w:val="18"/>
                <w:szCs w:val="18"/>
              </w:rPr>
            </w:pPr>
            <w:r w:rsidRPr="003818E8">
              <w:rPr>
                <w:rFonts w:ascii="Arial" w:hAnsi="Arial" w:cs="Arial"/>
                <w:sz w:val="18"/>
                <w:szCs w:val="18"/>
              </w:rPr>
              <w:t>Glantz mot Finland</w:t>
            </w:r>
          </w:p>
          <w:p w14:paraId="3A88E006" w14:textId="77777777" w:rsidR="001A1B89" w:rsidRPr="003818E8" w:rsidRDefault="001A1B89" w:rsidP="00A47015">
            <w:pPr>
              <w:numPr>
                <w:ilvl w:val="0"/>
                <w:numId w:val="2"/>
              </w:numPr>
              <w:contextualSpacing/>
              <w:rPr>
                <w:rFonts w:ascii="Arial" w:hAnsi="Arial" w:cs="Arial"/>
                <w:sz w:val="18"/>
                <w:szCs w:val="18"/>
              </w:rPr>
            </w:pPr>
            <w:proofErr w:type="spellStart"/>
            <w:r w:rsidRPr="003818E8">
              <w:rPr>
                <w:rFonts w:ascii="Arial" w:hAnsi="Arial" w:cs="Arial"/>
                <w:sz w:val="18"/>
                <w:szCs w:val="18"/>
              </w:rPr>
              <w:t>Kiiveri</w:t>
            </w:r>
            <w:proofErr w:type="spellEnd"/>
            <w:r w:rsidRPr="003818E8">
              <w:rPr>
                <w:rFonts w:ascii="Arial" w:hAnsi="Arial" w:cs="Arial"/>
                <w:sz w:val="18"/>
                <w:szCs w:val="18"/>
              </w:rPr>
              <w:t xml:space="preserve"> mot Finland</w:t>
            </w:r>
          </w:p>
          <w:p w14:paraId="30070845" w14:textId="77777777" w:rsidR="001A1B89" w:rsidRPr="003818E8" w:rsidRDefault="001A1B89" w:rsidP="00A47015">
            <w:pPr>
              <w:numPr>
                <w:ilvl w:val="0"/>
                <w:numId w:val="2"/>
              </w:numPr>
              <w:contextualSpacing/>
              <w:rPr>
                <w:rFonts w:ascii="Arial" w:hAnsi="Arial" w:cs="Arial"/>
                <w:sz w:val="18"/>
                <w:szCs w:val="18"/>
              </w:rPr>
            </w:pPr>
            <w:r w:rsidRPr="003818E8">
              <w:rPr>
                <w:rFonts w:ascii="Arial" w:hAnsi="Arial" w:cs="Arial"/>
                <w:sz w:val="18"/>
                <w:szCs w:val="18"/>
              </w:rPr>
              <w:t xml:space="preserve">Österlund mot Finland </w:t>
            </w:r>
          </w:p>
          <w:p w14:paraId="18D4FA7D" w14:textId="77777777" w:rsidR="001A1B89" w:rsidRPr="003818E8" w:rsidRDefault="001A1B89" w:rsidP="00A47015">
            <w:pPr>
              <w:numPr>
                <w:ilvl w:val="0"/>
                <w:numId w:val="2"/>
              </w:numPr>
              <w:contextualSpacing/>
              <w:rPr>
                <w:rFonts w:ascii="Arial" w:hAnsi="Arial" w:cs="Arial"/>
                <w:sz w:val="18"/>
                <w:szCs w:val="18"/>
              </w:rPr>
            </w:pPr>
            <w:r w:rsidRPr="003818E8">
              <w:rPr>
                <w:rFonts w:ascii="Arial" w:hAnsi="Arial" w:cs="Arial"/>
                <w:sz w:val="18"/>
                <w:szCs w:val="18"/>
              </w:rPr>
              <w:t xml:space="preserve">Rinas mot Finland </w:t>
            </w:r>
          </w:p>
          <w:p w14:paraId="3D9A4276" w14:textId="77777777" w:rsidR="001A1B89" w:rsidRPr="003818E8" w:rsidRDefault="001A1B89" w:rsidP="00A47015">
            <w:pPr>
              <w:rPr>
                <w:rFonts w:ascii="Arial" w:hAnsi="Arial" w:cs="Arial"/>
                <w:sz w:val="18"/>
                <w:szCs w:val="18"/>
              </w:rPr>
            </w:pPr>
          </w:p>
          <w:p w14:paraId="61F4736B"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79FCC5CE" w14:textId="77777777" w:rsidR="001A1B89" w:rsidRPr="003818E8" w:rsidRDefault="001A1B89" w:rsidP="00A47015">
            <w:pPr>
              <w:rPr>
                <w:rFonts w:ascii="Arial" w:hAnsi="Arial" w:cs="Arial"/>
                <w:sz w:val="18"/>
                <w:szCs w:val="18"/>
              </w:rPr>
            </w:pPr>
            <w:r w:rsidRPr="003818E8">
              <w:rPr>
                <w:rFonts w:ascii="Arial" w:hAnsi="Arial" w:cs="Arial"/>
                <w:sz w:val="18"/>
                <w:szCs w:val="18"/>
              </w:rPr>
              <w:t>20.8.2014</w:t>
            </w:r>
          </w:p>
          <w:p w14:paraId="713D6C4A" w14:textId="77777777" w:rsidR="001A1B89" w:rsidRPr="003818E8" w:rsidRDefault="001A1B89" w:rsidP="00A47015">
            <w:pPr>
              <w:rPr>
                <w:rFonts w:ascii="Arial" w:hAnsi="Arial" w:cs="Arial"/>
                <w:sz w:val="18"/>
                <w:szCs w:val="18"/>
              </w:rPr>
            </w:pPr>
          </w:p>
          <w:p w14:paraId="5C7047D8"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20.8.2014</w:t>
            </w:r>
          </w:p>
          <w:p w14:paraId="5A811823" w14:textId="77777777" w:rsidR="001A1B89" w:rsidRPr="003818E8" w:rsidRDefault="001A1B89" w:rsidP="00A47015">
            <w:pPr>
              <w:ind w:left="720"/>
              <w:contextualSpacing/>
              <w:rPr>
                <w:rFonts w:ascii="Arial" w:hAnsi="Arial" w:cs="Arial"/>
                <w:sz w:val="18"/>
                <w:szCs w:val="18"/>
              </w:rPr>
            </w:pPr>
          </w:p>
          <w:p w14:paraId="2587DB6C"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10.5.2015</w:t>
            </w:r>
          </w:p>
          <w:p w14:paraId="67F97681" w14:textId="77777777" w:rsidR="001A1B89" w:rsidRPr="003818E8" w:rsidRDefault="001A1B89" w:rsidP="00A47015">
            <w:pPr>
              <w:ind w:left="720"/>
              <w:contextualSpacing/>
              <w:rPr>
                <w:rFonts w:ascii="Arial" w:hAnsi="Arial" w:cs="Arial"/>
                <w:sz w:val="18"/>
                <w:szCs w:val="18"/>
              </w:rPr>
            </w:pPr>
          </w:p>
          <w:p w14:paraId="68441C83"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10.5.2015</w:t>
            </w:r>
          </w:p>
          <w:p w14:paraId="1806ABC7" w14:textId="77777777" w:rsidR="001A1B89" w:rsidRPr="003818E8" w:rsidRDefault="001A1B89" w:rsidP="00A47015">
            <w:pPr>
              <w:ind w:left="720"/>
              <w:contextualSpacing/>
              <w:rPr>
                <w:rFonts w:ascii="Arial" w:hAnsi="Arial" w:cs="Arial"/>
                <w:sz w:val="18"/>
                <w:szCs w:val="18"/>
              </w:rPr>
            </w:pPr>
          </w:p>
          <w:p w14:paraId="52F8B122"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27.4.2015</w:t>
            </w:r>
          </w:p>
        </w:tc>
        <w:tc>
          <w:tcPr>
            <w:tcW w:w="3224" w:type="dxa"/>
          </w:tcPr>
          <w:p w14:paraId="29B035E7"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4 protokoll 7 </w:t>
            </w:r>
          </w:p>
          <w:p w14:paraId="68109C82"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Denna grupp av fall berörs av </w:t>
            </w:r>
            <w:proofErr w:type="spellStart"/>
            <w:r w:rsidRPr="003818E8">
              <w:rPr>
                <w:rFonts w:ascii="Arial" w:hAnsi="Arial" w:cs="Arial"/>
                <w:sz w:val="18"/>
                <w:szCs w:val="18"/>
              </w:rPr>
              <w:t>ne</w:t>
            </w:r>
            <w:proofErr w:type="spellEnd"/>
            <w:r w:rsidRPr="003818E8">
              <w:rPr>
                <w:rFonts w:ascii="Arial" w:hAnsi="Arial" w:cs="Arial"/>
                <w:sz w:val="18"/>
                <w:szCs w:val="18"/>
              </w:rPr>
              <w:t xml:space="preserve"> bis in idem-förbudet, där de klagande hade dömts både i den straffrättsliga och administrativa beskattningsprocessen, som helt eller delvis gällde samma faktiska omständigheter mellan åren 2009 och 2013.</w:t>
            </w:r>
          </w:p>
        </w:tc>
        <w:tc>
          <w:tcPr>
            <w:tcW w:w="3260" w:type="dxa"/>
          </w:tcPr>
          <w:p w14:paraId="60510CE7"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Klagandena har möjlighet att få ett beslut av en nationell domstol ogiltigförklarat samt möjlighet till ersättning för fängelsestraff om domen ogiltigförklaras i samband med att ärendet återupptas. I fallet </w:t>
            </w:r>
            <w:proofErr w:type="spellStart"/>
            <w:r w:rsidRPr="003818E8">
              <w:rPr>
                <w:rFonts w:ascii="Arial" w:hAnsi="Arial" w:cs="Arial"/>
                <w:sz w:val="18"/>
                <w:szCs w:val="18"/>
              </w:rPr>
              <w:t>Kiiveri</w:t>
            </w:r>
            <w:proofErr w:type="spellEnd"/>
            <w:r w:rsidRPr="003818E8">
              <w:rPr>
                <w:rFonts w:ascii="Arial" w:hAnsi="Arial" w:cs="Arial"/>
                <w:sz w:val="18"/>
                <w:szCs w:val="18"/>
              </w:rPr>
              <w:t xml:space="preserve"> hade dock den klagandes begäran att öppna fallet på nytt avslagits (senaste besvär 4.7.2020). (Se även avgörandet av sektion 2 i anslutning till fallet Rinas 18.5.2021).</w:t>
            </w:r>
          </w:p>
          <w:p w14:paraId="2068E66B"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väntas IM:</w:t>
            </w:r>
            <w:r w:rsidRPr="003818E8">
              <w:rPr>
                <w:rFonts w:ascii="Arial" w:hAnsi="Arial" w:cs="Arial"/>
                <w:sz w:val="18"/>
                <w:szCs w:val="18"/>
              </w:rPr>
              <w:t xml:space="preserve"> </w:t>
            </w:r>
            <w:bookmarkStart w:id="0" w:name="_Hlk74565571"/>
            <w:r w:rsidRPr="003818E8">
              <w:rPr>
                <w:rFonts w:ascii="Arial" w:hAnsi="Arial" w:cs="Arial"/>
                <w:sz w:val="18"/>
                <w:szCs w:val="18"/>
              </w:rPr>
              <w:t xml:space="preserve">Ministerkommittén väntar på ytterligare information om huruvida de klagande har krävt att fallen ska öppnas och vilket resultatet har varit om de har öppnats, samt myndigheternas kommentarer om de frågor som den klagande har framfört i fallet </w:t>
            </w:r>
            <w:proofErr w:type="spellStart"/>
            <w:r w:rsidRPr="003818E8">
              <w:rPr>
                <w:rFonts w:ascii="Arial" w:hAnsi="Arial" w:cs="Arial"/>
                <w:sz w:val="18"/>
                <w:szCs w:val="18"/>
              </w:rPr>
              <w:t>Kiiveri</w:t>
            </w:r>
            <w:proofErr w:type="spellEnd"/>
            <w:r w:rsidRPr="003818E8">
              <w:rPr>
                <w:rFonts w:ascii="Arial" w:hAnsi="Arial" w:cs="Arial"/>
                <w:sz w:val="18"/>
                <w:szCs w:val="18"/>
              </w:rPr>
              <w:t xml:space="preserve">. </w:t>
            </w:r>
            <w:bookmarkEnd w:id="0"/>
          </w:p>
        </w:tc>
        <w:tc>
          <w:tcPr>
            <w:tcW w:w="2942" w:type="dxa"/>
          </w:tcPr>
          <w:p w14:paraId="735C4AF2"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23.8.2021 i fallet </w:t>
            </w:r>
            <w:proofErr w:type="spellStart"/>
            <w:r w:rsidRPr="003818E8">
              <w:rPr>
                <w:rFonts w:ascii="Arial" w:hAnsi="Arial" w:cs="Arial"/>
                <w:sz w:val="18"/>
                <w:szCs w:val="18"/>
              </w:rPr>
              <w:t>Kiiveri</w:t>
            </w:r>
            <w:proofErr w:type="spellEnd"/>
            <w:r w:rsidRPr="003818E8">
              <w:rPr>
                <w:rFonts w:ascii="Arial" w:hAnsi="Arial" w:cs="Arial"/>
                <w:sz w:val="18"/>
                <w:szCs w:val="18"/>
              </w:rPr>
              <w:t xml:space="preserve"> mot Finland har den klagande lämnat in ett meddelande enligt regel 9.1 där han redogjorde för den (ekonomiska) skada som han lidit och yrkat på ersättning för ekonomiska och ideella förluster. Europadomstolen har bestämt att endast 3000 euro ska ersättas och den klagande yrkar på verklig ersättning. Den klagande konstaterade att </w:t>
            </w:r>
            <w:proofErr w:type="gramStart"/>
            <w:r w:rsidRPr="003818E8">
              <w:rPr>
                <w:rFonts w:ascii="Arial" w:hAnsi="Arial" w:cs="Arial"/>
                <w:sz w:val="18"/>
                <w:szCs w:val="18"/>
              </w:rPr>
              <w:t>högsta domstolen</w:t>
            </w:r>
            <w:proofErr w:type="gramEnd"/>
            <w:r w:rsidRPr="003818E8">
              <w:rPr>
                <w:rFonts w:ascii="Arial" w:hAnsi="Arial" w:cs="Arial"/>
                <w:sz w:val="18"/>
                <w:szCs w:val="18"/>
              </w:rPr>
              <w:t xml:space="preserve"> inte har upphävt sin felaktiga dom mot ändringssökanden i strid med Europadomstolens beslut.</w:t>
            </w:r>
          </w:p>
        </w:tc>
      </w:tr>
      <w:tr w:rsidR="001A1B89" w:rsidRPr="003818E8" w14:paraId="2A8B916F" w14:textId="77777777" w:rsidTr="00A47015">
        <w:tc>
          <w:tcPr>
            <w:tcW w:w="2239" w:type="dxa"/>
          </w:tcPr>
          <w:p w14:paraId="33C8F107" w14:textId="77777777" w:rsidR="001A1B89" w:rsidRPr="003818E8" w:rsidRDefault="001A1B89" w:rsidP="00A47015">
            <w:pPr>
              <w:rPr>
                <w:rFonts w:ascii="Arial" w:hAnsi="Arial" w:cs="Arial"/>
                <w:sz w:val="18"/>
                <w:szCs w:val="18"/>
              </w:rPr>
            </w:pPr>
            <w:r w:rsidRPr="003818E8">
              <w:rPr>
                <w:rFonts w:ascii="Arial" w:hAnsi="Arial" w:cs="Arial"/>
                <w:b/>
                <w:sz w:val="18"/>
                <w:szCs w:val="18"/>
              </w:rPr>
              <w:t xml:space="preserve">Lindström och </w:t>
            </w:r>
            <w:proofErr w:type="spellStart"/>
            <w:r w:rsidRPr="003818E8">
              <w:rPr>
                <w:rFonts w:ascii="Arial" w:hAnsi="Arial" w:cs="Arial"/>
                <w:b/>
                <w:sz w:val="18"/>
                <w:szCs w:val="18"/>
              </w:rPr>
              <w:t>Mässeli</w:t>
            </w:r>
            <w:proofErr w:type="spellEnd"/>
            <w:r w:rsidRPr="003818E8">
              <w:rPr>
                <w:rFonts w:ascii="Arial" w:hAnsi="Arial" w:cs="Arial"/>
                <w:b/>
                <w:sz w:val="18"/>
                <w:szCs w:val="18"/>
              </w:rPr>
              <w:t xml:space="preserve"> mot Finland</w:t>
            </w:r>
            <w:r w:rsidRPr="003818E8">
              <w:rPr>
                <w:rFonts w:ascii="Arial" w:hAnsi="Arial" w:cs="Arial"/>
                <w:sz w:val="18"/>
                <w:szCs w:val="18"/>
              </w:rPr>
              <w:t xml:space="preserve"> (</w:t>
            </w:r>
            <w:hyperlink r:id="rId9" w:history="1">
              <w:proofErr w:type="gramStart"/>
              <w:r w:rsidRPr="003818E8">
                <w:rPr>
                  <w:rStyle w:val="Hyperlinkki"/>
                  <w:rFonts w:ascii="Arial" w:hAnsi="Arial" w:cs="Arial"/>
                  <w:sz w:val="18"/>
                  <w:szCs w:val="18"/>
                </w:rPr>
                <w:t>24630</w:t>
              </w:r>
              <w:proofErr w:type="gramEnd"/>
              <w:r w:rsidRPr="003818E8">
                <w:rPr>
                  <w:rStyle w:val="Hyperlinkki"/>
                  <w:rFonts w:ascii="Arial" w:hAnsi="Arial" w:cs="Arial"/>
                  <w:sz w:val="18"/>
                  <w:szCs w:val="18"/>
                </w:rPr>
                <w:t>/10</w:t>
              </w:r>
            </w:hyperlink>
            <w:r w:rsidRPr="003818E8">
              <w:rPr>
                <w:rFonts w:ascii="Arial" w:hAnsi="Arial" w:cs="Arial"/>
                <w:sz w:val="18"/>
                <w:szCs w:val="18"/>
              </w:rPr>
              <w:t>)</w:t>
            </w:r>
          </w:p>
          <w:p w14:paraId="3ED378B4" w14:textId="77777777" w:rsidR="001A1B89" w:rsidRPr="003818E8" w:rsidRDefault="001A1B89" w:rsidP="00A47015">
            <w:pPr>
              <w:rPr>
                <w:rFonts w:ascii="Arial" w:hAnsi="Arial" w:cs="Arial"/>
                <w:sz w:val="18"/>
                <w:szCs w:val="18"/>
              </w:rPr>
            </w:pPr>
          </w:p>
          <w:p w14:paraId="51CA5F17"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5BAEDD0E" w14:textId="77777777" w:rsidR="001A1B89" w:rsidRPr="003818E8" w:rsidRDefault="001A1B89" w:rsidP="00A47015">
            <w:pPr>
              <w:rPr>
                <w:rFonts w:ascii="Arial" w:hAnsi="Arial" w:cs="Arial"/>
                <w:sz w:val="18"/>
                <w:szCs w:val="18"/>
              </w:rPr>
            </w:pPr>
            <w:r w:rsidRPr="003818E8">
              <w:rPr>
                <w:rFonts w:ascii="Arial" w:hAnsi="Arial" w:cs="Arial"/>
                <w:sz w:val="18"/>
                <w:szCs w:val="18"/>
              </w:rPr>
              <w:t>14.4.2014</w:t>
            </w:r>
          </w:p>
          <w:p w14:paraId="5E634AE9" w14:textId="77777777" w:rsidR="001A1B89" w:rsidRPr="003818E8" w:rsidRDefault="001A1B89" w:rsidP="00A47015">
            <w:pPr>
              <w:rPr>
                <w:rFonts w:ascii="Arial" w:hAnsi="Arial" w:cs="Arial"/>
                <w:sz w:val="18"/>
                <w:szCs w:val="18"/>
              </w:rPr>
            </w:pPr>
          </w:p>
        </w:tc>
        <w:tc>
          <w:tcPr>
            <w:tcW w:w="3224" w:type="dxa"/>
          </w:tcPr>
          <w:p w14:paraId="223DAAE8"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8 </w:t>
            </w:r>
          </w:p>
          <w:p w14:paraId="32D24D17"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Fallet gäller påtvingad användning av en sluten overall hos två fångar i isolering. De två klagande hade tvingats bära en sluten overall som sträckte sig från fötterna till halsen, eftersom man misstänkte att de </w:t>
            </w:r>
            <w:r w:rsidRPr="003818E8">
              <w:rPr>
                <w:rFonts w:ascii="Arial" w:hAnsi="Arial" w:cs="Arial"/>
                <w:sz w:val="18"/>
                <w:szCs w:val="18"/>
              </w:rPr>
              <w:lastRenderedPageBreak/>
              <w:t>försökte smuggla in droger i fängelset genom att gömma dem i sin kropp. Den nationella lagstiftningen var inte tillräckligt tillgänglig och förutsägbar och innehöll inte tillräckliga skyddsåtgärder.</w:t>
            </w:r>
          </w:p>
        </w:tc>
        <w:tc>
          <w:tcPr>
            <w:tcW w:w="3260" w:type="dxa"/>
          </w:tcPr>
          <w:p w14:paraId="48E437C8" w14:textId="77777777" w:rsidR="001A1B89" w:rsidRPr="003818E8" w:rsidRDefault="001A1B89" w:rsidP="00A47015">
            <w:pPr>
              <w:rPr>
                <w:rFonts w:ascii="Arial" w:hAnsi="Arial" w:cs="Arial"/>
                <w:sz w:val="18"/>
                <w:szCs w:val="18"/>
              </w:rPr>
            </w:pPr>
            <w:r w:rsidRPr="003818E8">
              <w:rPr>
                <w:rFonts w:ascii="Arial" w:hAnsi="Arial" w:cs="Arial"/>
                <w:sz w:val="18"/>
                <w:szCs w:val="18"/>
              </w:rPr>
              <w:lastRenderedPageBreak/>
              <w:t xml:space="preserve">Brottspåföljdsmyndigheten har förbjudit användningen av slutna overaller sedan 2013. I april 2014 lämnade regeringen en proposition RP 45/2014 </w:t>
            </w:r>
            <w:proofErr w:type="spellStart"/>
            <w:r w:rsidRPr="003818E8">
              <w:rPr>
                <w:rFonts w:ascii="Arial" w:hAnsi="Arial" w:cs="Arial"/>
                <w:sz w:val="18"/>
                <w:szCs w:val="18"/>
              </w:rPr>
              <w:t>rd</w:t>
            </w:r>
            <w:proofErr w:type="spellEnd"/>
            <w:r w:rsidRPr="003818E8">
              <w:rPr>
                <w:rFonts w:ascii="Arial" w:hAnsi="Arial" w:cs="Arial"/>
                <w:sz w:val="18"/>
                <w:szCs w:val="18"/>
              </w:rPr>
              <w:t xml:space="preserve"> med förslag till ändringar i bestämmelserna om fångenskap och häktning i syfte att </w:t>
            </w:r>
            <w:r w:rsidRPr="003818E8">
              <w:rPr>
                <w:rFonts w:ascii="Arial" w:hAnsi="Arial" w:cs="Arial"/>
                <w:sz w:val="18"/>
                <w:szCs w:val="18"/>
              </w:rPr>
              <w:lastRenderedPageBreak/>
              <w:t xml:space="preserve">bland annat förkorta </w:t>
            </w:r>
            <w:proofErr w:type="spellStart"/>
            <w:r w:rsidRPr="003818E8">
              <w:rPr>
                <w:rFonts w:ascii="Arial" w:hAnsi="Arial" w:cs="Arial"/>
                <w:sz w:val="18"/>
                <w:szCs w:val="18"/>
              </w:rPr>
              <w:t>isoleringstiden</w:t>
            </w:r>
            <w:proofErr w:type="spellEnd"/>
            <w:r w:rsidRPr="003818E8">
              <w:rPr>
                <w:rFonts w:ascii="Arial" w:hAnsi="Arial" w:cs="Arial"/>
                <w:sz w:val="18"/>
                <w:szCs w:val="18"/>
              </w:rPr>
              <w:t xml:space="preserve"> från 14 dagar till 5 dagar, samt med förslag till särskilda bestämmelser för övervakning av isolering.</w:t>
            </w:r>
          </w:p>
          <w:p w14:paraId="763CD7FB"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ytterligare information väntas GM: Ministerkommittén väntar på information om utvecklingen gällande ovan nämnda lagändring samt begär en sammanfattning av relevanta bestämmelser (beträffande </w:t>
            </w:r>
            <w:proofErr w:type="gramStart"/>
            <w:r w:rsidRPr="003818E8">
              <w:rPr>
                <w:rFonts w:ascii="Arial" w:hAnsi="Arial" w:cs="Arial"/>
                <w:sz w:val="18"/>
                <w:szCs w:val="18"/>
              </w:rPr>
              <w:t>t.ex.</w:t>
            </w:r>
            <w:proofErr w:type="gramEnd"/>
            <w:r w:rsidRPr="003818E8">
              <w:rPr>
                <w:rFonts w:ascii="Arial" w:hAnsi="Arial" w:cs="Arial"/>
                <w:sz w:val="18"/>
                <w:szCs w:val="18"/>
              </w:rPr>
              <w:t xml:space="preserve"> särskilda kläder).</w:t>
            </w:r>
          </w:p>
        </w:tc>
        <w:tc>
          <w:tcPr>
            <w:tcW w:w="2942" w:type="dxa"/>
          </w:tcPr>
          <w:p w14:paraId="1736C0B5" w14:textId="77777777" w:rsidR="001A1B89" w:rsidRPr="003818E8" w:rsidRDefault="001A1B89" w:rsidP="00A47015">
            <w:pPr>
              <w:rPr>
                <w:rFonts w:ascii="Arial" w:hAnsi="Arial" w:cs="Arial"/>
                <w:sz w:val="18"/>
                <w:szCs w:val="18"/>
              </w:rPr>
            </w:pPr>
          </w:p>
        </w:tc>
      </w:tr>
      <w:tr w:rsidR="001A1B89" w:rsidRPr="003818E8" w14:paraId="09CF80AF" w14:textId="77777777" w:rsidTr="00A47015">
        <w:tc>
          <w:tcPr>
            <w:tcW w:w="2239" w:type="dxa"/>
          </w:tcPr>
          <w:p w14:paraId="47571336" w14:textId="77777777" w:rsidR="001A1B89" w:rsidRPr="003818E8" w:rsidRDefault="001A1B89" w:rsidP="00A47015">
            <w:pPr>
              <w:rPr>
                <w:rFonts w:ascii="Arial" w:hAnsi="Arial" w:cs="Arial"/>
                <w:sz w:val="18"/>
                <w:szCs w:val="18"/>
              </w:rPr>
            </w:pPr>
            <w:r w:rsidRPr="003818E8">
              <w:rPr>
                <w:rFonts w:ascii="Arial" w:hAnsi="Arial" w:cs="Arial"/>
                <w:b/>
                <w:sz w:val="18"/>
                <w:szCs w:val="18"/>
              </w:rPr>
              <w:t>X mot Finland</w:t>
            </w:r>
            <w:r w:rsidRPr="003818E8">
              <w:rPr>
                <w:rFonts w:ascii="Arial" w:hAnsi="Arial" w:cs="Arial"/>
                <w:sz w:val="18"/>
                <w:szCs w:val="18"/>
              </w:rPr>
              <w:t xml:space="preserve"> (</w:t>
            </w:r>
            <w:hyperlink r:id="rId10" w:history="1">
              <w:proofErr w:type="gramStart"/>
              <w:r w:rsidRPr="003818E8">
                <w:rPr>
                  <w:rStyle w:val="Hyperlinkki"/>
                  <w:rFonts w:ascii="Arial" w:hAnsi="Arial" w:cs="Arial"/>
                  <w:sz w:val="18"/>
                  <w:szCs w:val="18"/>
                </w:rPr>
                <w:t>34806</w:t>
              </w:r>
              <w:proofErr w:type="gramEnd"/>
              <w:r w:rsidRPr="003818E8">
                <w:rPr>
                  <w:rStyle w:val="Hyperlinkki"/>
                  <w:rFonts w:ascii="Arial" w:hAnsi="Arial" w:cs="Arial"/>
                  <w:sz w:val="18"/>
                  <w:szCs w:val="18"/>
                </w:rPr>
                <w:t>/04</w:t>
              </w:r>
            </w:hyperlink>
            <w:r w:rsidRPr="003818E8">
              <w:rPr>
                <w:rFonts w:ascii="Arial" w:hAnsi="Arial" w:cs="Arial"/>
                <w:sz w:val="18"/>
                <w:szCs w:val="18"/>
              </w:rPr>
              <w:t>)</w:t>
            </w:r>
          </w:p>
          <w:p w14:paraId="7288C7D2" w14:textId="77777777" w:rsidR="001A1B89" w:rsidRPr="003818E8" w:rsidRDefault="001A1B89" w:rsidP="00A47015">
            <w:pPr>
              <w:rPr>
                <w:rFonts w:ascii="Arial" w:hAnsi="Arial" w:cs="Arial"/>
                <w:sz w:val="18"/>
                <w:szCs w:val="18"/>
              </w:rPr>
            </w:pPr>
          </w:p>
          <w:p w14:paraId="0466AEE4" w14:textId="77777777" w:rsidR="001A1B89" w:rsidRPr="003818E8" w:rsidRDefault="001A1B89" w:rsidP="00A47015">
            <w:pPr>
              <w:rPr>
                <w:rFonts w:ascii="Arial" w:hAnsi="Arial" w:cs="Arial"/>
                <w:sz w:val="18"/>
                <w:szCs w:val="18"/>
              </w:rPr>
            </w:pPr>
            <w:r w:rsidRPr="003818E8">
              <w:rPr>
                <w:rFonts w:ascii="Arial" w:hAnsi="Arial" w:cs="Arial"/>
                <w:sz w:val="18"/>
                <w:szCs w:val="18"/>
              </w:rPr>
              <w:t>-CM reprimander: 5.10.2017, 30.10.2019 och 11.12.2020</w:t>
            </w:r>
          </w:p>
        </w:tc>
        <w:tc>
          <w:tcPr>
            <w:tcW w:w="2329" w:type="dxa"/>
          </w:tcPr>
          <w:p w14:paraId="72500E02" w14:textId="77777777" w:rsidR="001A1B89" w:rsidRPr="003818E8" w:rsidRDefault="001A1B89" w:rsidP="00A47015">
            <w:pPr>
              <w:rPr>
                <w:rFonts w:ascii="Arial" w:hAnsi="Arial" w:cs="Arial"/>
                <w:sz w:val="18"/>
                <w:szCs w:val="18"/>
              </w:rPr>
            </w:pPr>
            <w:r w:rsidRPr="003818E8">
              <w:rPr>
                <w:rFonts w:ascii="Arial" w:hAnsi="Arial" w:cs="Arial"/>
                <w:sz w:val="18"/>
                <w:szCs w:val="18"/>
              </w:rPr>
              <w:t>19.11.2012</w:t>
            </w:r>
          </w:p>
          <w:p w14:paraId="043650E0" w14:textId="77777777" w:rsidR="001A1B89" w:rsidRPr="003818E8" w:rsidRDefault="001A1B89" w:rsidP="00A47015">
            <w:pPr>
              <w:rPr>
                <w:rFonts w:ascii="Arial" w:hAnsi="Arial" w:cs="Arial"/>
                <w:sz w:val="18"/>
                <w:szCs w:val="18"/>
              </w:rPr>
            </w:pPr>
          </w:p>
        </w:tc>
        <w:tc>
          <w:tcPr>
            <w:tcW w:w="3224" w:type="dxa"/>
          </w:tcPr>
          <w:p w14:paraId="32C95574"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artiklar 8 och 5(1)e  </w:t>
            </w:r>
          </w:p>
          <w:p w14:paraId="70DFFFD4" w14:textId="77777777" w:rsidR="001A1B89" w:rsidRPr="003818E8" w:rsidRDefault="001A1B89" w:rsidP="00A47015">
            <w:pPr>
              <w:rPr>
                <w:rFonts w:ascii="Arial" w:hAnsi="Arial" w:cs="Arial"/>
                <w:sz w:val="18"/>
                <w:szCs w:val="18"/>
              </w:rPr>
            </w:pPr>
            <w:r w:rsidRPr="003818E8">
              <w:rPr>
                <w:rFonts w:ascii="Arial" w:hAnsi="Arial" w:cs="Arial"/>
                <w:sz w:val="18"/>
                <w:szCs w:val="18"/>
              </w:rPr>
              <w:t>Fallet handlade om att den klagande låsts in för vård mot sin vilja på mentalsjukhus och om otillräckliga skyddsåtgärder gällande sjukhusdirektörens beslut att förlänga den klagandes inlåsta tid på anstalten. Europadomstolen kritiserade särskilt det, att det inte hade funnits möjligt att be om ett andra oberoende psykiatriskt utlåtande och att endast myndigheterna har initiativrätt till återkommande kontroller.</w:t>
            </w:r>
          </w:p>
          <w:p w14:paraId="5C666D29" w14:textId="77777777" w:rsidR="001A1B89" w:rsidRPr="003818E8" w:rsidRDefault="001A1B89" w:rsidP="00A47015">
            <w:pPr>
              <w:rPr>
                <w:rFonts w:ascii="Arial" w:hAnsi="Arial" w:cs="Arial"/>
                <w:sz w:val="18"/>
                <w:szCs w:val="18"/>
              </w:rPr>
            </w:pPr>
          </w:p>
          <w:p w14:paraId="6076B58E" w14:textId="77777777" w:rsidR="001A1B89" w:rsidRPr="003818E8" w:rsidRDefault="001A1B89" w:rsidP="00A47015">
            <w:pPr>
              <w:rPr>
                <w:rFonts w:ascii="Arial" w:hAnsi="Arial" w:cs="Arial"/>
                <w:sz w:val="18"/>
                <w:szCs w:val="18"/>
              </w:rPr>
            </w:pPr>
            <w:r w:rsidRPr="003818E8">
              <w:rPr>
                <w:rFonts w:ascii="Arial" w:hAnsi="Arial" w:cs="Arial"/>
                <w:sz w:val="18"/>
                <w:szCs w:val="18"/>
              </w:rPr>
              <w:t>Det var också fråga om olagligt ingripande i den klagandens fysiska integritet när man hade använt tvångsmedicinering utan lämpliga rättsliga skyddsåtgärder. Europadomstolen kritiserade det, att beslutet att låsa in den klagande för vård mot sin vilja innehöll en automatisk fullmakt för tvångsmedicinering som inte omfattades av en omedelbar rättslig granskning.</w:t>
            </w:r>
          </w:p>
        </w:tc>
        <w:tc>
          <w:tcPr>
            <w:tcW w:w="3260" w:type="dxa"/>
          </w:tcPr>
          <w:p w14:paraId="451FE57F" w14:textId="77777777" w:rsidR="001A1B89" w:rsidRPr="003818E8" w:rsidRDefault="001A1B89" w:rsidP="00A47015">
            <w:pPr>
              <w:rPr>
                <w:rFonts w:ascii="Arial" w:hAnsi="Arial" w:cs="Arial"/>
                <w:sz w:val="18"/>
                <w:szCs w:val="18"/>
                <w:lang w:val="sv-SE" w:eastAsia="fi-FI"/>
              </w:rPr>
            </w:pPr>
            <w:r w:rsidRPr="003818E8">
              <w:rPr>
                <w:rFonts w:ascii="Arial" w:hAnsi="Arial" w:cs="Arial"/>
                <w:sz w:val="18"/>
                <w:szCs w:val="18"/>
                <w:lang w:val="sv-SE" w:eastAsia="fi-FI"/>
              </w:rPr>
              <w:t>I detta fall finns det inte längre behov till enskilda åtgärder.</w:t>
            </w:r>
          </w:p>
          <w:p w14:paraId="73B41BF7" w14:textId="77777777" w:rsidR="001A1B89" w:rsidRPr="003818E8" w:rsidRDefault="001A1B89" w:rsidP="00A47015">
            <w:pPr>
              <w:rPr>
                <w:rFonts w:ascii="Arial" w:hAnsi="Arial" w:cs="Arial"/>
                <w:sz w:val="18"/>
                <w:szCs w:val="18"/>
                <w:lang w:val="sv-SE" w:eastAsia="fi-FI"/>
              </w:rPr>
            </w:pPr>
          </w:p>
          <w:p w14:paraId="5FA1C2F9" w14:textId="77777777" w:rsidR="001A1B89" w:rsidRPr="003818E8" w:rsidRDefault="001A1B89" w:rsidP="00A47015">
            <w:pPr>
              <w:rPr>
                <w:rFonts w:ascii="Arial" w:hAnsi="Arial" w:cs="Arial"/>
                <w:sz w:val="18"/>
                <w:szCs w:val="18"/>
                <w:lang w:val="sv-SE" w:eastAsia="fi-FI"/>
              </w:rPr>
            </w:pPr>
            <w:r w:rsidRPr="003818E8">
              <w:rPr>
                <w:rFonts w:ascii="Arial" w:hAnsi="Arial" w:cs="Arial"/>
                <w:sz w:val="18"/>
                <w:szCs w:val="18"/>
                <w:lang w:val="sv-SE" w:eastAsia="fi-FI"/>
              </w:rPr>
              <w:t>Ministerkommittén välkomnade de ändringar som gjorts i mentalvårdslagen.</w:t>
            </w:r>
          </w:p>
          <w:p w14:paraId="5BC1A831" w14:textId="77777777" w:rsidR="001A1B89" w:rsidRPr="003818E8" w:rsidRDefault="001A1B89" w:rsidP="00A47015">
            <w:pPr>
              <w:rPr>
                <w:rFonts w:ascii="Arial" w:hAnsi="Arial" w:cs="Arial"/>
                <w:sz w:val="18"/>
                <w:szCs w:val="18"/>
                <w:lang w:val="sv-SE" w:eastAsia="fi-FI"/>
              </w:rPr>
            </w:pPr>
          </w:p>
          <w:p w14:paraId="2F5E428F" w14:textId="77777777" w:rsidR="001A1B89" w:rsidRPr="003818E8" w:rsidRDefault="001A1B89" w:rsidP="00A47015">
            <w:pPr>
              <w:rPr>
                <w:rFonts w:ascii="Arial" w:hAnsi="Arial" w:cs="Arial"/>
                <w:sz w:val="18"/>
                <w:szCs w:val="18"/>
                <w:lang w:val="sv-SE" w:eastAsia="fi-FI"/>
              </w:rPr>
            </w:pPr>
            <w:r w:rsidRPr="003818E8">
              <w:rPr>
                <w:rFonts w:ascii="Arial" w:hAnsi="Arial" w:cs="Arial"/>
                <w:b/>
                <w:bCs/>
                <w:sz w:val="18"/>
                <w:szCs w:val="18"/>
                <w:lang w:val="sv-SE" w:eastAsia="fi-FI"/>
              </w:rPr>
              <w:t>Mer information väntas GM</w:t>
            </w:r>
            <w:r w:rsidRPr="003818E8">
              <w:rPr>
                <w:rFonts w:ascii="Arial" w:hAnsi="Arial" w:cs="Arial"/>
                <w:sz w:val="18"/>
                <w:szCs w:val="18"/>
                <w:lang w:val="sv-SE" w:eastAsia="fi-FI"/>
              </w:rPr>
              <w:t>:</w:t>
            </w:r>
          </w:p>
          <w:p w14:paraId="4E2C2ADC" w14:textId="77777777" w:rsidR="001A1B89" w:rsidRPr="003818E8" w:rsidRDefault="001A1B89" w:rsidP="00A47015">
            <w:pPr>
              <w:rPr>
                <w:rFonts w:ascii="Arial" w:hAnsi="Arial" w:cs="Arial"/>
                <w:sz w:val="18"/>
                <w:szCs w:val="18"/>
                <w:lang w:val="sv-SE" w:eastAsia="fi-FI"/>
              </w:rPr>
            </w:pPr>
            <w:r w:rsidRPr="003818E8">
              <w:rPr>
                <w:rFonts w:ascii="Arial" w:hAnsi="Arial" w:cs="Arial"/>
                <w:sz w:val="18"/>
                <w:szCs w:val="18"/>
                <w:lang w:val="sv-SE" w:eastAsia="fi-FI"/>
              </w:rPr>
              <w:t>Ministerkommittén uppmuntrade myndigheterna att ge information om huruvida patienter i utsatt position i praktiken kan dra nytta av möjligheten att begära ett andra oberoende yttrande innan de utsätts för vård mot egen vilja. Ministerkommittén skulle vilja ha statistik om hur ofta andra oberoende uttalanden görs.</w:t>
            </w:r>
          </w:p>
          <w:p w14:paraId="0F751BA2" w14:textId="77777777" w:rsidR="001A1B89" w:rsidRPr="003818E8" w:rsidRDefault="001A1B89" w:rsidP="00A47015">
            <w:pPr>
              <w:rPr>
                <w:rFonts w:ascii="Arial" w:hAnsi="Arial" w:cs="Arial"/>
                <w:sz w:val="18"/>
                <w:szCs w:val="18"/>
                <w:lang w:val="sv-SE" w:eastAsia="fi-FI"/>
              </w:rPr>
            </w:pPr>
          </w:p>
          <w:p w14:paraId="1AB1C3EF" w14:textId="77777777" w:rsidR="001A1B89" w:rsidRPr="003818E8" w:rsidRDefault="001A1B89" w:rsidP="00A47015">
            <w:pPr>
              <w:rPr>
                <w:rFonts w:ascii="Arial" w:hAnsi="Arial" w:cs="Arial"/>
                <w:sz w:val="18"/>
                <w:szCs w:val="18"/>
                <w:lang w:val="sv-SE" w:eastAsia="fi-FI"/>
              </w:rPr>
            </w:pPr>
            <w:r w:rsidRPr="003818E8">
              <w:rPr>
                <w:rFonts w:ascii="Arial" w:hAnsi="Arial" w:cs="Arial"/>
                <w:sz w:val="18"/>
                <w:szCs w:val="18"/>
                <w:lang w:val="sv-SE" w:eastAsia="fi-FI"/>
              </w:rPr>
              <w:t>Ministerkommittén uppmanade myndigheterna att utan dröjsmål vidta nödvändiga lagstiftningsåtgärder för att göra sådana beslut överklagbara och därmed föremål för domstolsprövning.</w:t>
            </w:r>
          </w:p>
          <w:p w14:paraId="30B67680" w14:textId="77777777" w:rsidR="001A1B89" w:rsidRPr="003818E8" w:rsidRDefault="001A1B89" w:rsidP="00A47015">
            <w:pPr>
              <w:rPr>
                <w:rFonts w:ascii="Arial" w:hAnsi="Arial" w:cs="Arial"/>
                <w:sz w:val="18"/>
                <w:szCs w:val="18"/>
                <w:lang w:val="sv-SE" w:eastAsia="fi-FI"/>
              </w:rPr>
            </w:pPr>
          </w:p>
          <w:p w14:paraId="62ECDBB3" w14:textId="77777777" w:rsidR="001A1B89" w:rsidRPr="003818E8" w:rsidRDefault="001A1B89" w:rsidP="00A47015">
            <w:pPr>
              <w:rPr>
                <w:rFonts w:ascii="Arial" w:hAnsi="Arial" w:cs="Arial"/>
                <w:sz w:val="18"/>
                <w:szCs w:val="18"/>
                <w:lang w:val="sv-SE" w:eastAsia="fi-FI"/>
              </w:rPr>
            </w:pPr>
            <w:r w:rsidRPr="003818E8">
              <w:rPr>
                <w:rFonts w:ascii="Arial" w:hAnsi="Arial" w:cs="Arial"/>
                <w:sz w:val="18"/>
                <w:szCs w:val="18"/>
                <w:lang w:val="sv-SE" w:eastAsia="fi-FI"/>
              </w:rPr>
              <w:t>Ministerkommittén förväntade sig mer information senast den 30 mars 2022.</w:t>
            </w:r>
          </w:p>
        </w:tc>
        <w:tc>
          <w:tcPr>
            <w:tcW w:w="2942" w:type="dxa"/>
          </w:tcPr>
          <w:p w14:paraId="33B53BA5" w14:textId="77777777" w:rsidR="001A1B89" w:rsidRPr="003818E8" w:rsidRDefault="001A1B89" w:rsidP="00A47015">
            <w:pPr>
              <w:rPr>
                <w:rFonts w:ascii="Arial" w:hAnsi="Arial" w:cs="Arial"/>
                <w:sz w:val="18"/>
                <w:szCs w:val="18"/>
              </w:rPr>
            </w:pPr>
            <w:r w:rsidRPr="003818E8">
              <w:rPr>
                <w:rFonts w:ascii="Arial" w:hAnsi="Arial" w:cs="Arial"/>
                <w:sz w:val="18"/>
                <w:szCs w:val="18"/>
              </w:rPr>
              <w:t>Regeringen har lämnat in en uppdaterad handlingsplan 30.3.2022 och 27.9.2022. En bilaga till handlingsplanen har lämnats in 22.11.2022. Den uppdaterade handlingsplanen ersätter den handlingsplan som lämnades in 15.10.2021.</w:t>
            </w:r>
          </w:p>
          <w:p w14:paraId="4ABDE5B5" w14:textId="77777777" w:rsidR="001A1B89" w:rsidRPr="003818E8" w:rsidRDefault="001A1B89" w:rsidP="00A47015">
            <w:pPr>
              <w:rPr>
                <w:rFonts w:ascii="Arial" w:hAnsi="Arial" w:cs="Arial"/>
                <w:sz w:val="18"/>
                <w:szCs w:val="18"/>
              </w:rPr>
            </w:pPr>
          </w:p>
          <w:p w14:paraId="72223681" w14:textId="77777777" w:rsidR="001A1B89" w:rsidRPr="003818E8" w:rsidRDefault="001A1B89" w:rsidP="00A47015">
            <w:pPr>
              <w:rPr>
                <w:rFonts w:ascii="Arial" w:hAnsi="Arial" w:cs="Arial"/>
                <w:sz w:val="18"/>
                <w:szCs w:val="18"/>
              </w:rPr>
            </w:pPr>
            <w:r w:rsidRPr="003818E8">
              <w:rPr>
                <w:rFonts w:ascii="Arial" w:hAnsi="Arial" w:cs="Arial"/>
                <w:sz w:val="18"/>
                <w:szCs w:val="18"/>
              </w:rPr>
              <w:t>CM har behandlat genomförandet av fallet vid sitt möte 1419 från 30.11.2021 till 2.12.2021.</w:t>
            </w:r>
          </w:p>
          <w:p w14:paraId="2591E654" w14:textId="77777777" w:rsidR="001A1B89" w:rsidRPr="003818E8" w:rsidRDefault="001A1B89" w:rsidP="00A47015">
            <w:pPr>
              <w:rPr>
                <w:rFonts w:ascii="Arial" w:hAnsi="Arial" w:cs="Arial"/>
                <w:sz w:val="18"/>
                <w:szCs w:val="18"/>
              </w:rPr>
            </w:pPr>
          </w:p>
          <w:p w14:paraId="693DFAE8" w14:textId="77777777" w:rsidR="001A1B89" w:rsidRPr="003818E8" w:rsidRDefault="001A1B89" w:rsidP="00A47015">
            <w:pPr>
              <w:rPr>
                <w:rFonts w:ascii="Arial" w:hAnsi="Arial" w:cs="Arial"/>
                <w:sz w:val="18"/>
                <w:szCs w:val="18"/>
              </w:rPr>
            </w:pPr>
            <w:r w:rsidRPr="003818E8">
              <w:rPr>
                <w:rFonts w:ascii="Arial" w:hAnsi="Arial" w:cs="Arial"/>
                <w:sz w:val="18"/>
                <w:szCs w:val="18"/>
              </w:rPr>
              <w:t>Människorättscentret har 21.10.2021 sänt ett meddelande om allmänna åtgärder i enlighet med regel 9.2 i ministerkommitténs arbetsordning. Fallet hamnade till ministerkommitténs effektiviserade process i december 2021. Regeringen ska lämna ytterligare information till ministerkommittén senast 31.3.2022. Behandlingen av ärendet fortsätter.</w:t>
            </w:r>
          </w:p>
        </w:tc>
      </w:tr>
      <w:tr w:rsidR="001A1B89" w:rsidRPr="003818E8" w14:paraId="0457836B" w14:textId="77777777" w:rsidTr="00A47015">
        <w:tc>
          <w:tcPr>
            <w:tcW w:w="2239" w:type="dxa"/>
          </w:tcPr>
          <w:p w14:paraId="78886A59" w14:textId="77777777" w:rsidR="001A1B89" w:rsidRPr="003818E8" w:rsidRDefault="001A1B89" w:rsidP="00A47015">
            <w:pPr>
              <w:rPr>
                <w:rFonts w:ascii="Arial" w:hAnsi="Arial" w:cs="Arial"/>
                <w:sz w:val="18"/>
                <w:szCs w:val="18"/>
              </w:rPr>
            </w:pPr>
            <w:proofErr w:type="spellStart"/>
            <w:r w:rsidRPr="003818E8">
              <w:rPr>
                <w:rFonts w:ascii="Arial" w:hAnsi="Arial" w:cs="Arial"/>
                <w:b/>
                <w:sz w:val="18"/>
                <w:szCs w:val="18"/>
              </w:rPr>
              <w:t>Pietiläinen</w:t>
            </w:r>
            <w:proofErr w:type="spellEnd"/>
            <w:r w:rsidRPr="003818E8">
              <w:rPr>
                <w:rFonts w:ascii="Arial" w:hAnsi="Arial" w:cs="Arial"/>
                <w:b/>
                <w:sz w:val="18"/>
                <w:szCs w:val="18"/>
              </w:rPr>
              <w:t xml:space="preserve"> mot Finland</w:t>
            </w:r>
            <w:r w:rsidRPr="003818E8">
              <w:rPr>
                <w:rFonts w:ascii="Arial" w:hAnsi="Arial" w:cs="Arial"/>
                <w:sz w:val="18"/>
                <w:szCs w:val="18"/>
              </w:rPr>
              <w:t xml:space="preserve"> (</w:t>
            </w:r>
            <w:hyperlink r:id="rId11" w:history="1">
              <w:proofErr w:type="gramStart"/>
              <w:r w:rsidRPr="003818E8">
                <w:rPr>
                  <w:rStyle w:val="Hyperlinkki"/>
                  <w:rFonts w:ascii="Arial" w:hAnsi="Arial" w:cs="Arial"/>
                  <w:sz w:val="18"/>
                  <w:szCs w:val="18"/>
                </w:rPr>
                <w:t>13566</w:t>
              </w:r>
              <w:proofErr w:type="gramEnd"/>
              <w:r w:rsidRPr="003818E8">
                <w:rPr>
                  <w:rStyle w:val="Hyperlinkki"/>
                  <w:rFonts w:ascii="Arial" w:hAnsi="Arial" w:cs="Arial"/>
                  <w:sz w:val="18"/>
                  <w:szCs w:val="18"/>
                </w:rPr>
                <w:t>/06</w:t>
              </w:r>
            </w:hyperlink>
            <w:r w:rsidRPr="003818E8">
              <w:rPr>
                <w:rFonts w:ascii="Arial" w:hAnsi="Arial" w:cs="Arial"/>
                <w:sz w:val="18"/>
                <w:szCs w:val="18"/>
              </w:rPr>
              <w:t>)</w:t>
            </w:r>
          </w:p>
          <w:p w14:paraId="2464E20D" w14:textId="77777777" w:rsidR="001A1B89" w:rsidRPr="003818E8" w:rsidRDefault="001A1B89" w:rsidP="00A47015">
            <w:pPr>
              <w:rPr>
                <w:rFonts w:ascii="Arial" w:hAnsi="Arial" w:cs="Arial"/>
                <w:sz w:val="18"/>
                <w:szCs w:val="18"/>
              </w:rPr>
            </w:pPr>
          </w:p>
          <w:p w14:paraId="4D40E12B"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4D0AFD4C" w14:textId="77777777" w:rsidR="001A1B89" w:rsidRPr="003818E8" w:rsidRDefault="001A1B89" w:rsidP="00A47015">
            <w:pPr>
              <w:rPr>
                <w:rFonts w:ascii="Arial" w:hAnsi="Arial" w:cs="Arial"/>
                <w:sz w:val="18"/>
                <w:szCs w:val="18"/>
              </w:rPr>
            </w:pPr>
            <w:r w:rsidRPr="003818E8">
              <w:rPr>
                <w:rFonts w:ascii="Arial" w:hAnsi="Arial" w:cs="Arial"/>
                <w:sz w:val="18"/>
                <w:szCs w:val="18"/>
              </w:rPr>
              <w:t>18.11.2009</w:t>
            </w:r>
          </w:p>
          <w:p w14:paraId="39A41BCF" w14:textId="77777777" w:rsidR="001A1B89" w:rsidRPr="003818E8" w:rsidRDefault="001A1B89" w:rsidP="00A47015">
            <w:pPr>
              <w:rPr>
                <w:rFonts w:ascii="Arial" w:hAnsi="Arial" w:cs="Arial"/>
                <w:sz w:val="18"/>
                <w:szCs w:val="18"/>
              </w:rPr>
            </w:pPr>
          </w:p>
        </w:tc>
        <w:tc>
          <w:tcPr>
            <w:tcW w:w="3224" w:type="dxa"/>
          </w:tcPr>
          <w:p w14:paraId="67CBADD0"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artikel 6(1) tillsammans med 6(3)c</w:t>
            </w:r>
          </w:p>
          <w:p w14:paraId="0BD7E7B2"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Saken gällde en kränkning av den klagandes rätt till en rättvis rättegång och rätt till den rättshjälp som den klagande valt. Den klagandes besvär behandlades inte vidare, eftersom klaganden var frånvarande från </w:t>
            </w:r>
            <w:r w:rsidRPr="003818E8">
              <w:rPr>
                <w:rFonts w:ascii="Arial" w:hAnsi="Arial" w:cs="Arial"/>
                <w:sz w:val="18"/>
                <w:szCs w:val="18"/>
              </w:rPr>
              <w:lastRenderedPageBreak/>
              <w:t>rättegången trots att hen företräddes av en advokat.</w:t>
            </w:r>
          </w:p>
        </w:tc>
        <w:tc>
          <w:tcPr>
            <w:tcW w:w="3260" w:type="dxa"/>
          </w:tcPr>
          <w:p w14:paraId="74E0570D" w14:textId="77777777" w:rsidR="001A1B89" w:rsidRPr="003818E8" w:rsidRDefault="001A1B89" w:rsidP="00A47015">
            <w:pPr>
              <w:rPr>
                <w:rFonts w:ascii="Arial" w:hAnsi="Arial" w:cs="Arial"/>
                <w:sz w:val="18"/>
                <w:szCs w:val="18"/>
              </w:rPr>
            </w:pPr>
            <w:r w:rsidRPr="003818E8">
              <w:rPr>
                <w:rFonts w:ascii="Arial" w:hAnsi="Arial" w:cs="Arial"/>
                <w:b/>
                <w:sz w:val="18"/>
                <w:szCs w:val="18"/>
              </w:rPr>
              <w:lastRenderedPageBreak/>
              <w:t>ytterligare information väntas IM</w:t>
            </w:r>
            <w:r w:rsidRPr="003818E8">
              <w:rPr>
                <w:rFonts w:ascii="Arial" w:hAnsi="Arial" w:cs="Arial"/>
                <w:sz w:val="18"/>
                <w:szCs w:val="18"/>
              </w:rPr>
              <w:t xml:space="preserve">: Ministerkommittén konstaterar att det vore bra att få veta </w:t>
            </w:r>
            <w:bookmarkStart w:id="1" w:name="_Hlk74565976"/>
            <w:r w:rsidRPr="003818E8">
              <w:rPr>
                <w:rFonts w:ascii="Arial" w:hAnsi="Arial" w:cs="Arial"/>
                <w:sz w:val="18"/>
                <w:szCs w:val="18"/>
              </w:rPr>
              <w:t>om den klagande har krävt att ärendet öppnas på nytt och vad det eventuella slutresultatet har varit.</w:t>
            </w:r>
          </w:p>
          <w:p w14:paraId="5D788130"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väntas GM</w:t>
            </w:r>
            <w:r w:rsidRPr="003818E8">
              <w:rPr>
                <w:rFonts w:ascii="Arial" w:hAnsi="Arial" w:cs="Arial"/>
                <w:sz w:val="18"/>
                <w:szCs w:val="18"/>
              </w:rPr>
              <w:t xml:space="preserve">: Europadomstolen hade beskrivit de </w:t>
            </w:r>
            <w:r w:rsidRPr="003818E8">
              <w:rPr>
                <w:rFonts w:ascii="Arial" w:hAnsi="Arial" w:cs="Arial"/>
                <w:sz w:val="18"/>
                <w:szCs w:val="18"/>
              </w:rPr>
              <w:lastRenderedPageBreak/>
              <w:t>positiva framstegen i den nationella praxisen. Således skulle ministerkommittén behöva få mer information om den nationella rättspraxisen, som bekräftar att de relevanta bestämmelserna nu kan tillämpas enligt det sätt som</w:t>
            </w:r>
            <w:bookmarkEnd w:id="1"/>
            <w:r w:rsidRPr="003818E8">
              <w:rPr>
                <w:rFonts w:ascii="Arial" w:hAnsi="Arial" w:cs="Arial"/>
                <w:sz w:val="18"/>
                <w:szCs w:val="18"/>
              </w:rPr>
              <w:t xml:space="preserve"> Europadomstolen har slagit fast.</w:t>
            </w:r>
          </w:p>
        </w:tc>
        <w:tc>
          <w:tcPr>
            <w:tcW w:w="2942" w:type="dxa"/>
          </w:tcPr>
          <w:p w14:paraId="7300E4D4" w14:textId="77777777" w:rsidR="001A1B89" w:rsidRPr="003818E8" w:rsidRDefault="001A1B89" w:rsidP="00A47015">
            <w:pPr>
              <w:rPr>
                <w:rFonts w:ascii="Arial" w:hAnsi="Arial" w:cs="Arial"/>
                <w:b/>
                <w:sz w:val="18"/>
                <w:szCs w:val="18"/>
              </w:rPr>
            </w:pPr>
          </w:p>
        </w:tc>
      </w:tr>
      <w:tr w:rsidR="001A1B89" w:rsidRPr="003818E8" w14:paraId="142BC6EB" w14:textId="77777777" w:rsidTr="00A47015">
        <w:tc>
          <w:tcPr>
            <w:tcW w:w="2239" w:type="dxa"/>
          </w:tcPr>
          <w:p w14:paraId="2C5950A7" w14:textId="77777777" w:rsidR="001A1B89" w:rsidRPr="003818E8" w:rsidRDefault="001A1B89" w:rsidP="00A47015">
            <w:pPr>
              <w:rPr>
                <w:rFonts w:ascii="Arial" w:hAnsi="Arial" w:cs="Arial"/>
                <w:sz w:val="18"/>
                <w:szCs w:val="18"/>
              </w:rPr>
            </w:pPr>
            <w:r w:rsidRPr="003818E8">
              <w:rPr>
                <w:rFonts w:ascii="Arial" w:hAnsi="Arial" w:cs="Arial"/>
                <w:b/>
                <w:sz w:val="18"/>
                <w:szCs w:val="18"/>
              </w:rPr>
              <w:t>Ruotsalainen mot Finland</w:t>
            </w:r>
            <w:r w:rsidRPr="003818E8">
              <w:rPr>
                <w:rFonts w:ascii="Arial" w:hAnsi="Arial" w:cs="Arial"/>
                <w:sz w:val="18"/>
                <w:szCs w:val="18"/>
              </w:rPr>
              <w:t xml:space="preserve"> (</w:t>
            </w:r>
            <w:hyperlink r:id="rId12" w:history="1">
              <w:proofErr w:type="gramStart"/>
              <w:r w:rsidRPr="003818E8">
                <w:rPr>
                  <w:rFonts w:ascii="Arial" w:hAnsi="Arial" w:cs="Arial"/>
                  <w:color w:val="0563C1" w:themeColor="hyperlink"/>
                  <w:sz w:val="18"/>
                  <w:szCs w:val="18"/>
                  <w:u w:val="single"/>
                </w:rPr>
                <w:t>13079</w:t>
              </w:r>
              <w:proofErr w:type="gramEnd"/>
              <w:r w:rsidRPr="003818E8">
                <w:rPr>
                  <w:rFonts w:ascii="Arial" w:hAnsi="Arial" w:cs="Arial"/>
                  <w:color w:val="0563C1" w:themeColor="hyperlink"/>
                  <w:sz w:val="18"/>
                  <w:szCs w:val="18"/>
                  <w:u w:val="single"/>
                </w:rPr>
                <w:t>/03</w:t>
              </w:r>
            </w:hyperlink>
            <w:r w:rsidRPr="003818E8">
              <w:rPr>
                <w:rFonts w:ascii="Arial" w:hAnsi="Arial" w:cs="Arial"/>
                <w:sz w:val="18"/>
                <w:szCs w:val="18"/>
              </w:rPr>
              <w:t>)</w:t>
            </w:r>
          </w:p>
          <w:p w14:paraId="7977D3A8" w14:textId="77777777" w:rsidR="001A1B89" w:rsidRPr="003818E8" w:rsidRDefault="001A1B89" w:rsidP="00A47015">
            <w:pPr>
              <w:rPr>
                <w:rFonts w:ascii="Arial" w:hAnsi="Arial" w:cs="Arial"/>
                <w:sz w:val="18"/>
                <w:szCs w:val="18"/>
              </w:rPr>
            </w:pPr>
          </w:p>
          <w:p w14:paraId="04FFCEB1"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-CM </w:t>
            </w:r>
            <w:bookmarkStart w:id="2" w:name="_Hlk72766254"/>
            <w:r w:rsidRPr="003818E8">
              <w:rPr>
                <w:rFonts w:ascii="Arial" w:hAnsi="Arial" w:cs="Arial"/>
                <w:sz w:val="18"/>
                <w:szCs w:val="18"/>
              </w:rPr>
              <w:t>senaste reprimander: 5.10.2017, 30.10.2019 och 11.12.2020</w:t>
            </w:r>
            <w:bookmarkEnd w:id="2"/>
          </w:p>
        </w:tc>
        <w:tc>
          <w:tcPr>
            <w:tcW w:w="2329" w:type="dxa"/>
          </w:tcPr>
          <w:p w14:paraId="64A91D1D" w14:textId="77777777" w:rsidR="001A1B89" w:rsidRPr="003818E8" w:rsidRDefault="001A1B89" w:rsidP="00A47015">
            <w:pPr>
              <w:rPr>
                <w:rFonts w:ascii="Arial" w:hAnsi="Arial" w:cs="Arial"/>
                <w:sz w:val="18"/>
                <w:szCs w:val="18"/>
              </w:rPr>
            </w:pPr>
            <w:r w:rsidRPr="003818E8">
              <w:rPr>
                <w:rFonts w:ascii="Arial" w:hAnsi="Arial" w:cs="Arial"/>
                <w:sz w:val="18"/>
                <w:szCs w:val="18"/>
              </w:rPr>
              <w:t>16.9.2009</w:t>
            </w:r>
          </w:p>
          <w:p w14:paraId="46CEBFF2" w14:textId="77777777" w:rsidR="001A1B89" w:rsidRPr="003818E8" w:rsidRDefault="001A1B89" w:rsidP="00A47015">
            <w:pPr>
              <w:rPr>
                <w:rFonts w:ascii="Arial" w:hAnsi="Arial" w:cs="Arial"/>
                <w:sz w:val="18"/>
                <w:szCs w:val="18"/>
              </w:rPr>
            </w:pPr>
          </w:p>
        </w:tc>
        <w:tc>
          <w:tcPr>
            <w:tcW w:w="3224" w:type="dxa"/>
          </w:tcPr>
          <w:p w14:paraId="04A67BA9"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4 protokoll 7 </w:t>
            </w:r>
          </w:p>
          <w:p w14:paraId="01E2C695"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Saken gällde en kränkning av </w:t>
            </w:r>
            <w:proofErr w:type="spellStart"/>
            <w:r w:rsidRPr="003818E8">
              <w:rPr>
                <w:rFonts w:ascii="Arial" w:hAnsi="Arial" w:cs="Arial"/>
                <w:sz w:val="18"/>
                <w:szCs w:val="18"/>
              </w:rPr>
              <w:t>ne</w:t>
            </w:r>
            <w:proofErr w:type="spellEnd"/>
            <w:r w:rsidRPr="003818E8">
              <w:rPr>
                <w:rFonts w:ascii="Arial" w:hAnsi="Arial" w:cs="Arial"/>
                <w:sz w:val="18"/>
                <w:szCs w:val="18"/>
              </w:rPr>
              <w:t xml:space="preserve"> bis in idem-förbudet. Den klagande hade ålagts böter för ringa skattebedrägeri i en straffprocess samt bränsleavgift i en administrativ process, när den klagande hade kört med lindrigare beskattat bränsle än diesel, som den klagande borde ha använt i sin skåpbil.</w:t>
            </w:r>
          </w:p>
        </w:tc>
        <w:tc>
          <w:tcPr>
            <w:tcW w:w="3260" w:type="dxa"/>
          </w:tcPr>
          <w:p w14:paraId="73E900D7" w14:textId="77777777" w:rsidR="001A1B89" w:rsidRPr="003818E8" w:rsidRDefault="001A1B89" w:rsidP="00A47015">
            <w:pPr>
              <w:rPr>
                <w:rFonts w:ascii="Arial" w:hAnsi="Arial" w:cs="Arial"/>
                <w:sz w:val="18"/>
                <w:szCs w:val="18"/>
              </w:rPr>
            </w:pPr>
            <w:r w:rsidRPr="003818E8">
              <w:rPr>
                <w:rFonts w:ascii="Arial" w:hAnsi="Arial" w:cs="Arial"/>
                <w:b/>
                <w:bCs/>
                <w:sz w:val="18"/>
                <w:szCs w:val="18"/>
              </w:rPr>
              <w:t>IM</w:t>
            </w:r>
            <w:r w:rsidRPr="003818E8">
              <w:rPr>
                <w:rFonts w:ascii="Arial" w:hAnsi="Arial" w:cs="Arial"/>
                <w:sz w:val="18"/>
                <w:szCs w:val="18"/>
              </w:rPr>
              <w:t>: Europadomstolen beslöt om ersättning för den ideella skada som klaganden åsamkats.</w:t>
            </w:r>
          </w:p>
          <w:p w14:paraId="4CD23995" w14:textId="77777777" w:rsidR="001A1B89" w:rsidRPr="003818E8" w:rsidRDefault="001A1B89" w:rsidP="00A47015">
            <w:pPr>
              <w:rPr>
                <w:rFonts w:ascii="Arial" w:hAnsi="Arial" w:cs="Arial"/>
                <w:sz w:val="18"/>
                <w:szCs w:val="18"/>
              </w:rPr>
            </w:pPr>
          </w:p>
          <w:p w14:paraId="37F7F540" w14:textId="77777777" w:rsidR="001A1B89" w:rsidRPr="003818E8" w:rsidRDefault="001A1B89" w:rsidP="00A47015">
            <w:pPr>
              <w:rPr>
                <w:rFonts w:ascii="Arial" w:hAnsi="Arial" w:cs="Arial"/>
                <w:sz w:val="18"/>
                <w:szCs w:val="18"/>
              </w:rPr>
            </w:pPr>
            <w:r w:rsidRPr="003818E8">
              <w:rPr>
                <w:rFonts w:ascii="Arial" w:hAnsi="Arial" w:cs="Arial"/>
                <w:b/>
                <w:bCs/>
                <w:sz w:val="18"/>
                <w:szCs w:val="18"/>
              </w:rPr>
              <w:t>GM</w:t>
            </w:r>
            <w:r w:rsidRPr="003818E8">
              <w:rPr>
                <w:rFonts w:ascii="Arial" w:hAnsi="Arial" w:cs="Arial"/>
                <w:sz w:val="18"/>
                <w:szCs w:val="18"/>
              </w:rPr>
              <w:t>: Myndigheterna hade gett information om de pågående lagändringarna 27.7.2011. Exekutionsavdelningens (</w:t>
            </w:r>
            <w:proofErr w:type="spellStart"/>
            <w:r w:rsidRPr="003818E8">
              <w:rPr>
                <w:rFonts w:ascii="Arial" w:hAnsi="Arial" w:cs="Arial"/>
                <w:sz w:val="18"/>
                <w:szCs w:val="18"/>
              </w:rPr>
              <w:t>Execution</w:t>
            </w:r>
            <w:proofErr w:type="spellEnd"/>
            <w:r w:rsidRPr="003818E8">
              <w:rPr>
                <w:rFonts w:ascii="Arial" w:hAnsi="Arial" w:cs="Arial"/>
                <w:sz w:val="18"/>
                <w:szCs w:val="18"/>
              </w:rPr>
              <w:t xml:space="preserve"> </w:t>
            </w:r>
            <w:proofErr w:type="spellStart"/>
            <w:r w:rsidRPr="003818E8">
              <w:rPr>
                <w:rFonts w:ascii="Arial" w:hAnsi="Arial" w:cs="Arial"/>
                <w:sz w:val="18"/>
                <w:szCs w:val="18"/>
              </w:rPr>
              <w:t>Department</w:t>
            </w:r>
            <w:proofErr w:type="spellEnd"/>
            <w:r w:rsidRPr="003818E8">
              <w:rPr>
                <w:rFonts w:ascii="Arial" w:hAnsi="Arial" w:cs="Arial"/>
                <w:sz w:val="18"/>
                <w:szCs w:val="18"/>
              </w:rPr>
              <w:t>) synpunkter på uppgifterna har lämnats 16.5.2013.</w:t>
            </w:r>
          </w:p>
        </w:tc>
        <w:tc>
          <w:tcPr>
            <w:tcW w:w="2942" w:type="dxa"/>
          </w:tcPr>
          <w:p w14:paraId="3E887636" w14:textId="77777777" w:rsidR="001A1B89" w:rsidRPr="003818E8" w:rsidRDefault="001A1B89" w:rsidP="00A47015">
            <w:pPr>
              <w:rPr>
                <w:rFonts w:ascii="Arial" w:hAnsi="Arial" w:cs="Arial"/>
                <w:b/>
                <w:sz w:val="18"/>
                <w:szCs w:val="18"/>
              </w:rPr>
            </w:pPr>
          </w:p>
        </w:tc>
      </w:tr>
      <w:tr w:rsidR="001A1B89" w:rsidRPr="003818E8" w14:paraId="2364CC34" w14:textId="77777777" w:rsidTr="00A47015">
        <w:tc>
          <w:tcPr>
            <w:tcW w:w="2239" w:type="dxa"/>
          </w:tcPr>
          <w:p w14:paraId="6E7ADBEB" w14:textId="77777777" w:rsidR="001A1B89" w:rsidRPr="003818E8" w:rsidRDefault="001A1B89" w:rsidP="00A47015">
            <w:pPr>
              <w:rPr>
                <w:rFonts w:ascii="Arial" w:hAnsi="Arial" w:cs="Arial"/>
                <w:sz w:val="18"/>
                <w:szCs w:val="18"/>
              </w:rPr>
            </w:pPr>
            <w:r w:rsidRPr="003818E8">
              <w:rPr>
                <w:rFonts w:ascii="Arial" w:hAnsi="Arial" w:cs="Arial"/>
                <w:b/>
                <w:sz w:val="18"/>
                <w:szCs w:val="18"/>
              </w:rPr>
              <w:t>Eerikäinen med flera mot Finland</w:t>
            </w:r>
            <w:r w:rsidRPr="003818E8">
              <w:rPr>
                <w:rFonts w:ascii="Arial" w:hAnsi="Arial" w:cs="Arial"/>
                <w:sz w:val="18"/>
                <w:szCs w:val="18"/>
              </w:rPr>
              <w:t xml:space="preserve"> (</w:t>
            </w:r>
            <w:hyperlink r:id="rId13" w:history="1">
              <w:r w:rsidRPr="003818E8">
                <w:rPr>
                  <w:rFonts w:ascii="Arial" w:hAnsi="Arial" w:cs="Arial"/>
                  <w:color w:val="0563C1" w:themeColor="hyperlink"/>
                  <w:sz w:val="18"/>
                  <w:szCs w:val="18"/>
                  <w:u w:val="single"/>
                </w:rPr>
                <w:t>3514/02</w:t>
              </w:r>
            </w:hyperlink>
            <w:r w:rsidRPr="003818E8">
              <w:rPr>
                <w:rFonts w:ascii="Arial" w:hAnsi="Arial" w:cs="Arial"/>
                <w:sz w:val="18"/>
                <w:szCs w:val="18"/>
              </w:rPr>
              <w:t>)</w:t>
            </w:r>
          </w:p>
          <w:p w14:paraId="7A53A933" w14:textId="77777777" w:rsidR="001A1B89" w:rsidRPr="003818E8" w:rsidRDefault="001A1B89" w:rsidP="00A47015">
            <w:pPr>
              <w:numPr>
                <w:ilvl w:val="0"/>
                <w:numId w:val="1"/>
              </w:numPr>
              <w:contextualSpacing/>
              <w:rPr>
                <w:rFonts w:ascii="Arial" w:hAnsi="Arial" w:cs="Arial"/>
                <w:sz w:val="18"/>
                <w:szCs w:val="18"/>
              </w:rPr>
            </w:pPr>
            <w:proofErr w:type="spellStart"/>
            <w:r w:rsidRPr="003818E8">
              <w:rPr>
                <w:rFonts w:ascii="Arial" w:hAnsi="Arial" w:cs="Arial"/>
                <w:sz w:val="18"/>
                <w:szCs w:val="18"/>
              </w:rPr>
              <w:t>Mariapori</w:t>
            </w:r>
            <w:proofErr w:type="spellEnd"/>
            <w:r w:rsidRPr="003818E8">
              <w:rPr>
                <w:rFonts w:ascii="Arial" w:hAnsi="Arial" w:cs="Arial"/>
                <w:sz w:val="18"/>
                <w:szCs w:val="18"/>
              </w:rPr>
              <w:t xml:space="preserve"> mot Finland </w:t>
            </w:r>
          </w:p>
          <w:p w14:paraId="768EF9D8" w14:textId="77777777" w:rsidR="001A1B89" w:rsidRPr="003818E8" w:rsidRDefault="001A1B89" w:rsidP="00A47015">
            <w:pPr>
              <w:rPr>
                <w:rFonts w:ascii="Arial" w:hAnsi="Arial" w:cs="Arial"/>
                <w:sz w:val="18"/>
                <w:szCs w:val="18"/>
              </w:rPr>
            </w:pPr>
          </w:p>
          <w:p w14:paraId="6613B818"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 11.12.2020</w:t>
            </w:r>
          </w:p>
        </w:tc>
        <w:tc>
          <w:tcPr>
            <w:tcW w:w="2329" w:type="dxa"/>
          </w:tcPr>
          <w:p w14:paraId="1D8A6ED3" w14:textId="77777777" w:rsidR="001A1B89" w:rsidRPr="003818E8" w:rsidRDefault="001A1B89" w:rsidP="00A47015">
            <w:pPr>
              <w:rPr>
                <w:rFonts w:ascii="Arial" w:hAnsi="Arial" w:cs="Arial"/>
                <w:sz w:val="18"/>
                <w:szCs w:val="18"/>
              </w:rPr>
            </w:pPr>
            <w:r w:rsidRPr="003818E8">
              <w:rPr>
                <w:rFonts w:ascii="Arial" w:hAnsi="Arial" w:cs="Arial"/>
                <w:sz w:val="18"/>
                <w:szCs w:val="18"/>
              </w:rPr>
              <w:t>13.3.2009</w:t>
            </w:r>
          </w:p>
          <w:p w14:paraId="62CA6307" w14:textId="77777777" w:rsidR="001A1B89" w:rsidRPr="003818E8" w:rsidRDefault="001A1B89" w:rsidP="00A47015">
            <w:pPr>
              <w:rPr>
                <w:rFonts w:ascii="Arial" w:hAnsi="Arial" w:cs="Arial"/>
                <w:sz w:val="18"/>
                <w:szCs w:val="18"/>
              </w:rPr>
            </w:pPr>
          </w:p>
          <w:p w14:paraId="0945DD3C" w14:textId="77777777" w:rsidR="001A1B89" w:rsidRPr="003818E8" w:rsidRDefault="001A1B89" w:rsidP="00A47015">
            <w:pPr>
              <w:contextualSpacing/>
              <w:rPr>
                <w:rFonts w:ascii="Arial" w:hAnsi="Arial" w:cs="Arial"/>
                <w:sz w:val="18"/>
                <w:szCs w:val="18"/>
              </w:rPr>
            </w:pPr>
          </w:p>
          <w:p w14:paraId="58450A88" w14:textId="77777777" w:rsidR="001A1B89" w:rsidRPr="003818E8" w:rsidRDefault="001A1B89" w:rsidP="001A1B89">
            <w:pPr>
              <w:numPr>
                <w:ilvl w:val="0"/>
                <w:numId w:val="4"/>
              </w:numPr>
              <w:contextualSpacing/>
              <w:rPr>
                <w:rFonts w:ascii="Arial" w:hAnsi="Arial" w:cs="Arial"/>
                <w:sz w:val="18"/>
                <w:szCs w:val="18"/>
              </w:rPr>
            </w:pPr>
            <w:r w:rsidRPr="003818E8">
              <w:rPr>
                <w:rFonts w:ascii="Arial" w:hAnsi="Arial" w:cs="Arial"/>
                <w:sz w:val="18"/>
                <w:szCs w:val="18"/>
              </w:rPr>
              <w:t>06.10.2010</w:t>
            </w:r>
          </w:p>
          <w:p w14:paraId="6BB1E509" w14:textId="77777777" w:rsidR="001A1B89" w:rsidRPr="003818E8" w:rsidRDefault="001A1B89" w:rsidP="00A47015">
            <w:pPr>
              <w:rPr>
                <w:rFonts w:ascii="Arial" w:hAnsi="Arial" w:cs="Arial"/>
                <w:sz w:val="18"/>
                <w:szCs w:val="18"/>
              </w:rPr>
            </w:pPr>
          </w:p>
          <w:p w14:paraId="22AC7E1C" w14:textId="77777777" w:rsidR="001A1B89" w:rsidRPr="003818E8" w:rsidRDefault="001A1B89" w:rsidP="00A47015">
            <w:pPr>
              <w:ind w:left="720"/>
              <w:contextualSpacing/>
              <w:rPr>
                <w:rFonts w:ascii="Arial" w:hAnsi="Arial" w:cs="Arial"/>
                <w:sz w:val="18"/>
                <w:szCs w:val="18"/>
              </w:rPr>
            </w:pPr>
          </w:p>
        </w:tc>
        <w:tc>
          <w:tcPr>
            <w:tcW w:w="3224" w:type="dxa"/>
          </w:tcPr>
          <w:p w14:paraId="4E6ECB1E"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10 och i vissa fall 6(1) </w:t>
            </w:r>
          </w:p>
          <w:p w14:paraId="0B731AAA" w14:textId="77777777" w:rsidR="001A1B89" w:rsidRPr="003818E8" w:rsidRDefault="001A1B89" w:rsidP="00A47015">
            <w:pPr>
              <w:rPr>
                <w:rFonts w:ascii="Arial" w:hAnsi="Arial" w:cs="Arial"/>
                <w:sz w:val="18"/>
                <w:szCs w:val="18"/>
              </w:rPr>
            </w:pPr>
            <w:r w:rsidRPr="003818E8">
              <w:rPr>
                <w:rFonts w:ascii="Arial" w:hAnsi="Arial" w:cs="Arial"/>
                <w:sz w:val="18"/>
                <w:szCs w:val="18"/>
              </w:rPr>
              <w:t>Denna grupp av fall handlar om kränkning av de klagandes yttrandefrihet till följd av straffrättsliga eller civilrättsliga domar (som gällde kränkning av integritet eller ärekränkning) mellan åren 2000 och 2011. Grunderna för domarna var enligt domstolen inte tillräckliga för att motivera ett tvingande samhälleligt behov och därtill/alternativt ansåg domstolen att sanktionerna mot klagandena (straffrättsliga sanktioner och skadeståndsavgifter) var för hårda. Straffprocesserna var också för långa i en del fall.</w:t>
            </w:r>
          </w:p>
        </w:tc>
        <w:tc>
          <w:tcPr>
            <w:tcW w:w="3260" w:type="dxa"/>
          </w:tcPr>
          <w:p w14:paraId="59D29A49" w14:textId="77777777" w:rsidR="001A1B89" w:rsidRPr="003818E8" w:rsidRDefault="001A1B89" w:rsidP="00A47015">
            <w:pPr>
              <w:rPr>
                <w:rFonts w:ascii="Arial" w:hAnsi="Arial" w:cs="Arial"/>
                <w:sz w:val="18"/>
                <w:szCs w:val="18"/>
              </w:rPr>
            </w:pPr>
            <w:r w:rsidRPr="003818E8">
              <w:rPr>
                <w:rFonts w:ascii="Arial" w:hAnsi="Arial" w:cs="Arial"/>
                <w:sz w:val="18"/>
                <w:szCs w:val="18"/>
              </w:rPr>
              <w:t>Bestämmelser med anknytning till fallet ändrades och de nya bestämmelserna trädde i kraft 2014.</w:t>
            </w:r>
          </w:p>
          <w:p w14:paraId="7F75DB00"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vore nyttigt GM:</w:t>
            </w:r>
            <w:r w:rsidRPr="003818E8">
              <w:rPr>
                <w:rFonts w:ascii="Arial" w:hAnsi="Arial" w:cs="Arial"/>
                <w:sz w:val="18"/>
                <w:szCs w:val="18"/>
              </w:rPr>
              <w:t xml:space="preserve"> Ministerkommittén konstaterar att det vore nyttigt att få statistiska data om fängelsedomar och villkorliga fängelsedomstolar som meddelats efter att de nya bestämmelserna i strafflagen trätt i kraft (2014) och som gäller grov ärekränkning och spridning av information som grovt kränker privatlivet, eller ytterligare information om nationell rättspraxis för när det är godtagbart att döma ut fängelsestraff eller villkorlig dom för ovan nämnda brott.</w:t>
            </w:r>
          </w:p>
        </w:tc>
        <w:tc>
          <w:tcPr>
            <w:tcW w:w="2942" w:type="dxa"/>
          </w:tcPr>
          <w:p w14:paraId="675F9233"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Ministerkommittén har den 7.10.2021 </w:t>
            </w:r>
            <w:hyperlink r:id="rId14" w:history="1">
              <w:r w:rsidRPr="003818E8">
                <w:rPr>
                  <w:rStyle w:val="Hyperlinkki"/>
                  <w:rFonts w:ascii="Arial" w:hAnsi="Arial" w:cs="Arial"/>
                  <w:sz w:val="18"/>
                  <w:szCs w:val="18"/>
                </w:rPr>
                <w:t>avslutit 11 fall</w:t>
              </w:r>
            </w:hyperlink>
            <w:r w:rsidRPr="003818E8">
              <w:rPr>
                <w:rFonts w:ascii="Arial" w:hAnsi="Arial" w:cs="Arial"/>
                <w:sz w:val="18"/>
                <w:szCs w:val="18"/>
              </w:rPr>
              <w:t xml:space="preserve"> när det gäller åtgärder på individnivå.</w:t>
            </w:r>
          </w:p>
          <w:p w14:paraId="58788A77"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Ministerkommittén erinrar att frågan om allmänna åtgärder som krävs för att avhjälpa de brister som domstolen konstaterat i förevarande domar fortfarande granskas inom ramen för målet </w:t>
            </w:r>
            <w:r w:rsidRPr="003818E8">
              <w:rPr>
                <w:rFonts w:ascii="Arial" w:hAnsi="Arial" w:cs="Arial"/>
                <w:i/>
                <w:iCs/>
                <w:sz w:val="18"/>
                <w:szCs w:val="18"/>
              </w:rPr>
              <w:t xml:space="preserve">Eerikäinen mot Finland </w:t>
            </w:r>
            <w:r w:rsidRPr="003818E8">
              <w:rPr>
                <w:rFonts w:ascii="Arial" w:hAnsi="Arial" w:cs="Arial"/>
                <w:sz w:val="18"/>
                <w:szCs w:val="18"/>
              </w:rPr>
              <w:t>och att avslutandet av dessa mål därför inte på något sätt föregriper kommitténs bedömning av de allmänna åtgärder som krävs.</w:t>
            </w:r>
          </w:p>
        </w:tc>
      </w:tr>
      <w:tr w:rsidR="001A1B89" w:rsidRPr="003818E8" w14:paraId="201787E6" w14:textId="77777777" w:rsidTr="00A47015">
        <w:tc>
          <w:tcPr>
            <w:tcW w:w="2239" w:type="dxa"/>
          </w:tcPr>
          <w:p w14:paraId="6CFA999D" w14:textId="77777777" w:rsidR="001A1B89" w:rsidRPr="003818E8" w:rsidRDefault="001A1B89" w:rsidP="00A47015">
            <w:pPr>
              <w:rPr>
                <w:rFonts w:ascii="Arial" w:hAnsi="Arial" w:cs="Arial"/>
                <w:sz w:val="18"/>
                <w:szCs w:val="18"/>
              </w:rPr>
            </w:pPr>
            <w:r w:rsidRPr="003818E8">
              <w:rPr>
                <w:rFonts w:ascii="Arial" w:hAnsi="Arial" w:cs="Arial"/>
                <w:b/>
                <w:sz w:val="18"/>
                <w:szCs w:val="18"/>
              </w:rPr>
              <w:t>V. mot Finland</w:t>
            </w:r>
            <w:r w:rsidRPr="003818E8">
              <w:rPr>
                <w:rFonts w:ascii="Arial" w:hAnsi="Arial" w:cs="Arial"/>
                <w:sz w:val="18"/>
                <w:szCs w:val="18"/>
              </w:rPr>
              <w:t xml:space="preserve"> (</w:t>
            </w:r>
            <w:hyperlink r:id="rId15" w:history="1">
              <w:proofErr w:type="gramStart"/>
              <w:r w:rsidRPr="003818E8">
                <w:rPr>
                  <w:rFonts w:ascii="Arial" w:hAnsi="Arial" w:cs="Arial"/>
                  <w:color w:val="0563C1" w:themeColor="hyperlink"/>
                  <w:sz w:val="18"/>
                  <w:szCs w:val="18"/>
                  <w:u w:val="single"/>
                </w:rPr>
                <w:t>40412</w:t>
              </w:r>
              <w:proofErr w:type="gramEnd"/>
              <w:r w:rsidRPr="003818E8">
                <w:rPr>
                  <w:rFonts w:ascii="Arial" w:hAnsi="Arial" w:cs="Arial"/>
                  <w:color w:val="0563C1" w:themeColor="hyperlink"/>
                  <w:sz w:val="18"/>
                  <w:szCs w:val="18"/>
                  <w:u w:val="single"/>
                </w:rPr>
                <w:t>/98</w:t>
              </w:r>
            </w:hyperlink>
            <w:r w:rsidRPr="003818E8">
              <w:rPr>
                <w:rFonts w:ascii="Arial" w:hAnsi="Arial" w:cs="Arial"/>
                <w:sz w:val="18"/>
                <w:szCs w:val="18"/>
              </w:rPr>
              <w:t>)</w:t>
            </w:r>
          </w:p>
          <w:p w14:paraId="64E41B1D" w14:textId="77777777" w:rsidR="001A1B89" w:rsidRPr="003818E8" w:rsidRDefault="001A1B89" w:rsidP="00A47015">
            <w:pPr>
              <w:rPr>
                <w:rFonts w:ascii="Arial" w:hAnsi="Arial" w:cs="Arial"/>
                <w:b/>
                <w:bCs/>
                <w:sz w:val="18"/>
                <w:szCs w:val="18"/>
              </w:rPr>
            </w:pPr>
          </w:p>
          <w:p w14:paraId="1DF103C6"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422A8D69" w14:textId="77777777" w:rsidR="001A1B89" w:rsidRPr="003818E8" w:rsidRDefault="001A1B89" w:rsidP="00A47015">
            <w:pPr>
              <w:rPr>
                <w:rFonts w:ascii="Arial" w:hAnsi="Arial" w:cs="Arial"/>
                <w:sz w:val="18"/>
                <w:szCs w:val="18"/>
              </w:rPr>
            </w:pPr>
            <w:r w:rsidRPr="003818E8">
              <w:rPr>
                <w:rFonts w:ascii="Arial" w:hAnsi="Arial" w:cs="Arial"/>
                <w:sz w:val="18"/>
                <w:szCs w:val="18"/>
              </w:rPr>
              <w:t>24.7.2007</w:t>
            </w:r>
          </w:p>
          <w:p w14:paraId="757FBDBF" w14:textId="77777777" w:rsidR="001A1B89" w:rsidRPr="003818E8" w:rsidRDefault="001A1B89" w:rsidP="00A47015">
            <w:pPr>
              <w:rPr>
                <w:rFonts w:ascii="Arial" w:hAnsi="Arial" w:cs="Arial"/>
                <w:sz w:val="18"/>
                <w:szCs w:val="18"/>
              </w:rPr>
            </w:pPr>
          </w:p>
        </w:tc>
        <w:tc>
          <w:tcPr>
            <w:tcW w:w="3224" w:type="dxa"/>
          </w:tcPr>
          <w:p w14:paraId="409F48F7"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6(1) </w:t>
            </w:r>
          </w:p>
          <w:p w14:paraId="39BEF9E2" w14:textId="77777777" w:rsidR="001A1B89" w:rsidRPr="003818E8" w:rsidRDefault="001A1B89" w:rsidP="00A47015">
            <w:pPr>
              <w:rPr>
                <w:rFonts w:ascii="Arial" w:hAnsi="Arial" w:cs="Arial"/>
                <w:sz w:val="18"/>
                <w:szCs w:val="18"/>
              </w:rPr>
            </w:pPr>
            <w:r w:rsidRPr="003818E8">
              <w:rPr>
                <w:rFonts w:ascii="Arial" w:hAnsi="Arial" w:cs="Arial"/>
                <w:sz w:val="18"/>
                <w:szCs w:val="18"/>
              </w:rPr>
              <w:t>Saken gällde en orättvis straffprocess där den klagande inte kunde argumentera för att polisen hade uppmanat den klagande att begå ett narkotikabrott, eftersom polismyndigheterna inte hade fört fram relevant information under rättsprocessen och domstolarna inte kunde rätta till denna brist.</w:t>
            </w:r>
          </w:p>
        </w:tc>
        <w:tc>
          <w:tcPr>
            <w:tcW w:w="3260" w:type="dxa"/>
          </w:tcPr>
          <w:p w14:paraId="6E8517E2"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vore nyttigt GM</w:t>
            </w:r>
            <w:r w:rsidRPr="003818E8">
              <w:rPr>
                <w:rFonts w:ascii="Arial" w:hAnsi="Arial" w:cs="Arial"/>
                <w:sz w:val="18"/>
                <w:szCs w:val="18"/>
              </w:rPr>
              <w:t>: Ministerkommittén begär information om den nuvarande lagstiftningsramen och rättspraxisen, särskilt gällande beslutsprocessen i samband med bevisupptagningen enligt den nya lagstiftningen.</w:t>
            </w:r>
          </w:p>
        </w:tc>
        <w:tc>
          <w:tcPr>
            <w:tcW w:w="2942" w:type="dxa"/>
          </w:tcPr>
          <w:p w14:paraId="02F22F91" w14:textId="77777777" w:rsidR="001A1B89" w:rsidRPr="003818E8" w:rsidRDefault="001A1B89" w:rsidP="00A47015">
            <w:pPr>
              <w:rPr>
                <w:rFonts w:ascii="Arial" w:hAnsi="Arial" w:cs="Arial"/>
                <w:b/>
                <w:sz w:val="18"/>
                <w:szCs w:val="18"/>
              </w:rPr>
            </w:pPr>
          </w:p>
        </w:tc>
      </w:tr>
      <w:tr w:rsidR="001A1B89" w:rsidRPr="003818E8" w14:paraId="743EEE3A" w14:textId="77777777" w:rsidTr="00A47015">
        <w:tc>
          <w:tcPr>
            <w:tcW w:w="2239" w:type="dxa"/>
          </w:tcPr>
          <w:p w14:paraId="41C53B34" w14:textId="77777777" w:rsidR="001A1B89" w:rsidRPr="003818E8" w:rsidRDefault="001A1B89" w:rsidP="00A47015">
            <w:pPr>
              <w:rPr>
                <w:rFonts w:ascii="Arial" w:hAnsi="Arial" w:cs="Arial"/>
                <w:sz w:val="18"/>
                <w:szCs w:val="18"/>
              </w:rPr>
            </w:pPr>
            <w:r w:rsidRPr="003818E8">
              <w:rPr>
                <w:rFonts w:ascii="Arial" w:hAnsi="Arial" w:cs="Arial"/>
                <w:b/>
                <w:sz w:val="18"/>
                <w:szCs w:val="18"/>
              </w:rPr>
              <w:lastRenderedPageBreak/>
              <w:t>C. mot Finland</w:t>
            </w:r>
            <w:r w:rsidRPr="003818E8">
              <w:rPr>
                <w:rFonts w:ascii="Arial" w:hAnsi="Arial" w:cs="Arial"/>
                <w:sz w:val="18"/>
                <w:szCs w:val="18"/>
              </w:rPr>
              <w:t xml:space="preserve"> (</w:t>
            </w:r>
            <w:hyperlink r:id="rId16" w:history="1">
              <w:proofErr w:type="gramStart"/>
              <w:r w:rsidRPr="003818E8">
                <w:rPr>
                  <w:rFonts w:ascii="Arial" w:hAnsi="Arial" w:cs="Arial"/>
                  <w:color w:val="0563C1" w:themeColor="hyperlink"/>
                  <w:sz w:val="18"/>
                  <w:szCs w:val="18"/>
                  <w:u w:val="single"/>
                </w:rPr>
                <w:t>18249</w:t>
              </w:r>
              <w:proofErr w:type="gramEnd"/>
              <w:r w:rsidRPr="003818E8">
                <w:rPr>
                  <w:rFonts w:ascii="Arial" w:hAnsi="Arial" w:cs="Arial"/>
                  <w:color w:val="0563C1" w:themeColor="hyperlink"/>
                  <w:sz w:val="18"/>
                  <w:szCs w:val="18"/>
                  <w:u w:val="single"/>
                </w:rPr>
                <w:t>/02</w:t>
              </w:r>
            </w:hyperlink>
            <w:r w:rsidRPr="003818E8">
              <w:rPr>
                <w:rFonts w:ascii="Arial" w:hAnsi="Arial" w:cs="Arial"/>
                <w:sz w:val="18"/>
                <w:szCs w:val="18"/>
              </w:rPr>
              <w:t>)</w:t>
            </w:r>
          </w:p>
          <w:p w14:paraId="467D10A8" w14:textId="77777777" w:rsidR="001A1B89" w:rsidRPr="003818E8" w:rsidRDefault="001A1B89" w:rsidP="00A47015">
            <w:pPr>
              <w:rPr>
                <w:rFonts w:ascii="Arial" w:hAnsi="Arial" w:cs="Arial"/>
                <w:sz w:val="18"/>
                <w:szCs w:val="18"/>
              </w:rPr>
            </w:pPr>
          </w:p>
          <w:p w14:paraId="46F4E3E8"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3BD8242E" w14:textId="77777777" w:rsidR="001A1B89" w:rsidRPr="003818E8" w:rsidRDefault="001A1B89" w:rsidP="00A47015">
            <w:pPr>
              <w:rPr>
                <w:rFonts w:ascii="Arial" w:hAnsi="Arial" w:cs="Arial"/>
                <w:sz w:val="18"/>
                <w:szCs w:val="18"/>
              </w:rPr>
            </w:pPr>
            <w:r w:rsidRPr="003818E8">
              <w:rPr>
                <w:rFonts w:ascii="Arial" w:hAnsi="Arial" w:cs="Arial"/>
                <w:sz w:val="18"/>
                <w:szCs w:val="18"/>
              </w:rPr>
              <w:t>09.8.2006</w:t>
            </w:r>
          </w:p>
          <w:p w14:paraId="6DF0DDF0" w14:textId="77777777" w:rsidR="001A1B89" w:rsidRPr="003818E8" w:rsidRDefault="001A1B89" w:rsidP="00A47015">
            <w:pPr>
              <w:rPr>
                <w:rFonts w:ascii="Arial" w:hAnsi="Arial" w:cs="Arial"/>
                <w:sz w:val="18"/>
                <w:szCs w:val="18"/>
              </w:rPr>
            </w:pPr>
          </w:p>
        </w:tc>
        <w:tc>
          <w:tcPr>
            <w:tcW w:w="3224" w:type="dxa"/>
          </w:tcPr>
          <w:p w14:paraId="4C7F293D"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8 </w:t>
            </w:r>
          </w:p>
          <w:p w14:paraId="455DD61D" w14:textId="77777777" w:rsidR="001A1B89" w:rsidRPr="003818E8" w:rsidRDefault="001A1B89" w:rsidP="00A47015">
            <w:pPr>
              <w:rPr>
                <w:rFonts w:ascii="Arial" w:hAnsi="Arial" w:cs="Arial"/>
                <w:sz w:val="18"/>
                <w:szCs w:val="18"/>
              </w:rPr>
            </w:pPr>
            <w:r w:rsidRPr="003818E8">
              <w:rPr>
                <w:rFonts w:ascii="Arial" w:hAnsi="Arial" w:cs="Arial"/>
                <w:sz w:val="18"/>
                <w:szCs w:val="18"/>
              </w:rPr>
              <w:t>Saken gäller kränkning av den klagandes rätt till familjeliv till följd av att Högsta domstolen hade upphävt två beslut av de lägre domstolarna som hade gett de klagande vårdnaden, utan att beakta andra faktorer än barnens åsikt och utan att hålla ett hörande.</w:t>
            </w:r>
          </w:p>
        </w:tc>
        <w:tc>
          <w:tcPr>
            <w:tcW w:w="3260" w:type="dxa"/>
          </w:tcPr>
          <w:p w14:paraId="3BEBDEEB"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Klaganden hade anfört besvär över att skälig gottgörelse för kostnaderna hade avbrutits, senast 3.3.2015. </w:t>
            </w:r>
          </w:p>
          <w:p w14:paraId="62D3A2AE"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väntas IM:</w:t>
            </w:r>
            <w:r w:rsidRPr="003818E8">
              <w:rPr>
                <w:rFonts w:ascii="Arial" w:hAnsi="Arial" w:cs="Arial"/>
                <w:sz w:val="18"/>
                <w:szCs w:val="18"/>
              </w:rPr>
              <w:t xml:space="preserve"> Ministerkommittén väntar på myndigheternas kommentarer angående ovan nämnda klagomål.</w:t>
            </w:r>
          </w:p>
        </w:tc>
        <w:tc>
          <w:tcPr>
            <w:tcW w:w="2942" w:type="dxa"/>
          </w:tcPr>
          <w:p w14:paraId="6C14C7B9" w14:textId="77777777" w:rsidR="001A1B89" w:rsidRPr="003818E8" w:rsidRDefault="001A1B89" w:rsidP="00A47015">
            <w:pPr>
              <w:rPr>
                <w:rFonts w:ascii="Arial" w:hAnsi="Arial" w:cs="Arial"/>
                <w:sz w:val="18"/>
                <w:szCs w:val="18"/>
              </w:rPr>
            </w:pPr>
          </w:p>
        </w:tc>
      </w:tr>
      <w:tr w:rsidR="001A1B89" w:rsidRPr="003818E8" w14:paraId="57CDF20D" w14:textId="77777777" w:rsidTr="00A47015">
        <w:tc>
          <w:tcPr>
            <w:tcW w:w="2239" w:type="dxa"/>
          </w:tcPr>
          <w:p w14:paraId="2D46282C" w14:textId="77777777" w:rsidR="001A1B89" w:rsidRPr="003818E8" w:rsidRDefault="001A1B89" w:rsidP="00A47015">
            <w:pPr>
              <w:rPr>
                <w:rFonts w:ascii="Arial" w:hAnsi="Arial" w:cs="Arial"/>
                <w:sz w:val="18"/>
                <w:szCs w:val="18"/>
              </w:rPr>
            </w:pPr>
            <w:r w:rsidRPr="003818E8">
              <w:rPr>
                <w:rFonts w:ascii="Arial" w:hAnsi="Arial" w:cs="Arial"/>
                <w:b/>
                <w:sz w:val="18"/>
                <w:szCs w:val="18"/>
              </w:rPr>
              <w:t>Petri Sallinen med flera mot Finland</w:t>
            </w:r>
            <w:r w:rsidRPr="003818E8">
              <w:rPr>
                <w:rFonts w:ascii="Arial" w:hAnsi="Arial" w:cs="Arial"/>
                <w:sz w:val="18"/>
                <w:szCs w:val="18"/>
              </w:rPr>
              <w:t xml:space="preserve"> (</w:t>
            </w:r>
            <w:hyperlink r:id="rId17" w:history="1">
              <w:proofErr w:type="gramStart"/>
              <w:r w:rsidRPr="003818E8">
                <w:rPr>
                  <w:rFonts w:ascii="Arial" w:hAnsi="Arial" w:cs="Arial"/>
                  <w:color w:val="0563C1" w:themeColor="hyperlink"/>
                  <w:sz w:val="18"/>
                  <w:szCs w:val="18"/>
                  <w:u w:val="single"/>
                </w:rPr>
                <w:t>50882</w:t>
              </w:r>
              <w:proofErr w:type="gramEnd"/>
              <w:r w:rsidRPr="003818E8">
                <w:rPr>
                  <w:rFonts w:ascii="Arial" w:hAnsi="Arial" w:cs="Arial"/>
                  <w:color w:val="0563C1" w:themeColor="hyperlink"/>
                  <w:sz w:val="18"/>
                  <w:szCs w:val="18"/>
                  <w:u w:val="single"/>
                </w:rPr>
                <w:t>/99</w:t>
              </w:r>
            </w:hyperlink>
            <w:r w:rsidRPr="003818E8">
              <w:rPr>
                <w:rFonts w:ascii="Arial" w:hAnsi="Arial" w:cs="Arial"/>
                <w:sz w:val="18"/>
                <w:szCs w:val="18"/>
              </w:rPr>
              <w:t>)</w:t>
            </w:r>
          </w:p>
          <w:p w14:paraId="777FF89F" w14:textId="77777777" w:rsidR="001A1B89" w:rsidRPr="003818E8" w:rsidRDefault="001A1B89" w:rsidP="00A47015">
            <w:pPr>
              <w:numPr>
                <w:ilvl w:val="0"/>
                <w:numId w:val="3"/>
              </w:numPr>
              <w:contextualSpacing/>
              <w:rPr>
                <w:rFonts w:ascii="Arial" w:hAnsi="Arial" w:cs="Arial"/>
                <w:sz w:val="18"/>
                <w:szCs w:val="18"/>
              </w:rPr>
            </w:pPr>
            <w:r w:rsidRPr="003818E8">
              <w:rPr>
                <w:rFonts w:ascii="Arial" w:hAnsi="Arial" w:cs="Arial"/>
                <w:sz w:val="18"/>
                <w:szCs w:val="18"/>
              </w:rPr>
              <w:t>Harju mot Finland</w:t>
            </w:r>
          </w:p>
          <w:p w14:paraId="0371E766" w14:textId="77777777" w:rsidR="001A1B89" w:rsidRPr="003818E8" w:rsidRDefault="001A1B89" w:rsidP="00A47015">
            <w:pPr>
              <w:numPr>
                <w:ilvl w:val="0"/>
                <w:numId w:val="3"/>
              </w:numPr>
              <w:contextualSpacing/>
              <w:rPr>
                <w:rFonts w:ascii="Arial" w:hAnsi="Arial" w:cs="Arial"/>
                <w:sz w:val="18"/>
                <w:szCs w:val="18"/>
              </w:rPr>
            </w:pPr>
            <w:r w:rsidRPr="003818E8">
              <w:rPr>
                <w:rFonts w:ascii="Arial" w:hAnsi="Arial" w:cs="Arial"/>
                <w:sz w:val="18"/>
                <w:szCs w:val="18"/>
              </w:rPr>
              <w:t xml:space="preserve">Heino mot Finland </w:t>
            </w:r>
          </w:p>
          <w:p w14:paraId="43C6DC71" w14:textId="77777777" w:rsidR="001A1B89" w:rsidRPr="003818E8" w:rsidRDefault="001A1B89" w:rsidP="00A47015">
            <w:pPr>
              <w:numPr>
                <w:ilvl w:val="0"/>
                <w:numId w:val="3"/>
              </w:numPr>
              <w:contextualSpacing/>
              <w:rPr>
                <w:rFonts w:ascii="Arial" w:hAnsi="Arial" w:cs="Arial"/>
                <w:sz w:val="18"/>
                <w:szCs w:val="18"/>
              </w:rPr>
            </w:pPr>
            <w:r w:rsidRPr="003818E8">
              <w:rPr>
                <w:rFonts w:ascii="Arial" w:hAnsi="Arial" w:cs="Arial"/>
                <w:sz w:val="18"/>
                <w:szCs w:val="18"/>
              </w:rPr>
              <w:t>Sorvisto mot Finland</w:t>
            </w:r>
          </w:p>
          <w:p w14:paraId="3F03B138" w14:textId="77777777" w:rsidR="001A1B89" w:rsidRPr="003818E8" w:rsidRDefault="001A1B89" w:rsidP="00A47015">
            <w:pPr>
              <w:rPr>
                <w:rFonts w:ascii="Arial" w:hAnsi="Arial" w:cs="Arial"/>
                <w:sz w:val="18"/>
                <w:szCs w:val="18"/>
              </w:rPr>
            </w:pPr>
          </w:p>
          <w:p w14:paraId="0BB286D7" w14:textId="77777777" w:rsidR="001A1B89" w:rsidRPr="003818E8" w:rsidRDefault="001A1B89" w:rsidP="00A47015">
            <w:pPr>
              <w:rPr>
                <w:rFonts w:ascii="Arial" w:hAnsi="Arial" w:cs="Arial"/>
                <w:sz w:val="18"/>
                <w:szCs w:val="18"/>
              </w:rPr>
            </w:pPr>
            <w:r w:rsidRPr="003818E8">
              <w:rPr>
                <w:rFonts w:ascii="Arial" w:hAnsi="Arial" w:cs="Arial"/>
                <w:sz w:val="18"/>
                <w:szCs w:val="18"/>
              </w:rPr>
              <w:t>-CM senaste reprimander: 5.10.2017, 30.10.2019 och 11.12.2020</w:t>
            </w:r>
          </w:p>
        </w:tc>
        <w:tc>
          <w:tcPr>
            <w:tcW w:w="2329" w:type="dxa"/>
          </w:tcPr>
          <w:p w14:paraId="5AEBA33F" w14:textId="77777777" w:rsidR="001A1B89" w:rsidRPr="003818E8" w:rsidRDefault="001A1B89" w:rsidP="00A47015">
            <w:pPr>
              <w:rPr>
                <w:rFonts w:ascii="Arial" w:hAnsi="Arial" w:cs="Arial"/>
                <w:sz w:val="18"/>
                <w:szCs w:val="18"/>
              </w:rPr>
            </w:pPr>
            <w:r w:rsidRPr="003818E8">
              <w:rPr>
                <w:rFonts w:ascii="Arial" w:hAnsi="Arial" w:cs="Arial"/>
                <w:sz w:val="18"/>
                <w:szCs w:val="18"/>
              </w:rPr>
              <w:t>27.12.2005</w:t>
            </w:r>
          </w:p>
          <w:p w14:paraId="1CE28A1F" w14:textId="77777777" w:rsidR="001A1B89" w:rsidRPr="003818E8" w:rsidRDefault="001A1B89" w:rsidP="00A47015">
            <w:pPr>
              <w:ind w:left="720"/>
              <w:contextualSpacing/>
              <w:rPr>
                <w:rFonts w:ascii="Arial" w:hAnsi="Arial" w:cs="Arial"/>
                <w:sz w:val="18"/>
                <w:szCs w:val="18"/>
              </w:rPr>
            </w:pPr>
          </w:p>
          <w:p w14:paraId="39D97FC2" w14:textId="77777777" w:rsidR="001A1B89" w:rsidRPr="003818E8" w:rsidRDefault="001A1B89" w:rsidP="00A47015">
            <w:pPr>
              <w:ind w:left="720"/>
              <w:contextualSpacing/>
              <w:rPr>
                <w:rFonts w:ascii="Arial" w:hAnsi="Arial" w:cs="Arial"/>
                <w:sz w:val="18"/>
                <w:szCs w:val="18"/>
              </w:rPr>
            </w:pPr>
          </w:p>
          <w:p w14:paraId="68070DAA"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15.5.2011</w:t>
            </w:r>
          </w:p>
          <w:p w14:paraId="71A42AF1" w14:textId="77777777" w:rsidR="001A1B89" w:rsidRPr="003818E8" w:rsidRDefault="001A1B89" w:rsidP="00A47015">
            <w:pPr>
              <w:ind w:left="720"/>
              <w:contextualSpacing/>
              <w:rPr>
                <w:rFonts w:ascii="Arial" w:hAnsi="Arial" w:cs="Arial"/>
                <w:sz w:val="18"/>
                <w:szCs w:val="18"/>
              </w:rPr>
            </w:pPr>
          </w:p>
          <w:p w14:paraId="421046E1"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15.5.2011</w:t>
            </w:r>
          </w:p>
          <w:p w14:paraId="057BEBCD" w14:textId="77777777" w:rsidR="001A1B89" w:rsidRPr="003818E8" w:rsidRDefault="001A1B89" w:rsidP="00A47015">
            <w:pPr>
              <w:ind w:left="720"/>
              <w:contextualSpacing/>
              <w:rPr>
                <w:rFonts w:ascii="Arial" w:hAnsi="Arial" w:cs="Arial"/>
                <w:sz w:val="18"/>
                <w:szCs w:val="18"/>
              </w:rPr>
            </w:pPr>
          </w:p>
          <w:p w14:paraId="7E11C493" w14:textId="77777777" w:rsidR="001A1B89" w:rsidRPr="003818E8" w:rsidRDefault="001A1B89" w:rsidP="00A47015">
            <w:pPr>
              <w:numPr>
                <w:ilvl w:val="0"/>
                <w:numId w:val="1"/>
              </w:numPr>
              <w:contextualSpacing/>
              <w:rPr>
                <w:rFonts w:ascii="Arial" w:hAnsi="Arial" w:cs="Arial"/>
                <w:sz w:val="18"/>
                <w:szCs w:val="18"/>
              </w:rPr>
            </w:pPr>
            <w:r w:rsidRPr="003818E8">
              <w:rPr>
                <w:rFonts w:ascii="Arial" w:hAnsi="Arial" w:cs="Arial"/>
                <w:sz w:val="18"/>
                <w:szCs w:val="18"/>
              </w:rPr>
              <w:t xml:space="preserve">13.4.2009 (ledande avgörande, även </w:t>
            </w:r>
            <w:proofErr w:type="spellStart"/>
            <w:r w:rsidRPr="003818E8">
              <w:rPr>
                <w:rFonts w:ascii="Arial" w:hAnsi="Arial" w:cs="Arial"/>
                <w:sz w:val="18"/>
                <w:szCs w:val="18"/>
              </w:rPr>
              <w:t>Kangasluoma</w:t>
            </w:r>
            <w:proofErr w:type="spellEnd"/>
            <w:r w:rsidRPr="003818E8">
              <w:rPr>
                <w:rFonts w:ascii="Arial" w:hAnsi="Arial" w:cs="Arial"/>
                <w:sz w:val="18"/>
                <w:szCs w:val="18"/>
              </w:rPr>
              <w:t xml:space="preserve"> mot Finland) </w:t>
            </w:r>
          </w:p>
        </w:tc>
        <w:tc>
          <w:tcPr>
            <w:tcW w:w="3224" w:type="dxa"/>
          </w:tcPr>
          <w:p w14:paraId="0AAF48F2"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8, Sorvisto även 6(1) och 13 </w:t>
            </w:r>
          </w:p>
          <w:p w14:paraId="018E240A" w14:textId="77777777" w:rsidR="001A1B89" w:rsidRPr="003818E8" w:rsidRDefault="001A1B89" w:rsidP="00A47015">
            <w:pPr>
              <w:rPr>
                <w:rFonts w:ascii="Arial" w:hAnsi="Arial" w:cs="Arial"/>
                <w:sz w:val="18"/>
                <w:szCs w:val="18"/>
              </w:rPr>
            </w:pPr>
            <w:r w:rsidRPr="003818E8">
              <w:rPr>
                <w:rFonts w:ascii="Arial" w:hAnsi="Arial" w:cs="Arial"/>
                <w:sz w:val="18"/>
                <w:szCs w:val="18"/>
              </w:rPr>
              <w:t>Denna grupp av fall handlar om kränkning av artikel 8, eftersom: 1. konfidentiellt material söktes och beslagtogs från de klagandes advokatbyråer, vilket också påverkade rättigheterna för de klagandes klienter (Petri Sallinen med flera, Heino); 2. korrespondens mellan den klagande och den klagandes advokat hade beslagtagits (Sorvisto) och; 3. den klagandes dator hade beslagtagits i samband med en husrannsakan i den klagandes hem (Harju). Europadomstolen kritiserar det, att det är svårt att förutse omfattningen av skyddet för konfidentiellt material och att det finns brister i domstolsövervakningen av husrannsakningarna och beslagtagningsåtgärderna.</w:t>
            </w:r>
          </w:p>
          <w:p w14:paraId="450948FB" w14:textId="77777777" w:rsidR="001A1B89" w:rsidRPr="003818E8" w:rsidRDefault="001A1B89" w:rsidP="00A47015">
            <w:pPr>
              <w:rPr>
                <w:rFonts w:ascii="Arial" w:hAnsi="Arial" w:cs="Arial"/>
                <w:sz w:val="18"/>
                <w:szCs w:val="18"/>
              </w:rPr>
            </w:pPr>
          </w:p>
          <w:p w14:paraId="1041AB9D" w14:textId="77777777" w:rsidR="001A1B89" w:rsidRPr="003818E8" w:rsidRDefault="001A1B89" w:rsidP="00A47015">
            <w:pPr>
              <w:rPr>
                <w:rFonts w:ascii="Arial" w:hAnsi="Arial" w:cs="Arial"/>
                <w:sz w:val="18"/>
                <w:szCs w:val="18"/>
              </w:rPr>
            </w:pPr>
            <w:r w:rsidRPr="003818E8">
              <w:rPr>
                <w:rFonts w:ascii="Arial" w:hAnsi="Arial" w:cs="Arial"/>
                <w:sz w:val="18"/>
                <w:szCs w:val="18"/>
              </w:rPr>
              <w:t>Fallet Sorvisto handlar också om långa civil- och straffprocesser och bristen på effektiva rättsmedel i anslutning till dem.</w:t>
            </w:r>
          </w:p>
        </w:tc>
        <w:tc>
          <w:tcPr>
            <w:tcW w:w="3260" w:type="dxa"/>
          </w:tcPr>
          <w:p w14:paraId="42617097"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Heino och Harju: </w:t>
            </w:r>
            <w:r w:rsidRPr="003818E8">
              <w:rPr>
                <w:rFonts w:ascii="Arial" w:hAnsi="Arial" w:cs="Arial"/>
                <w:b/>
                <w:sz w:val="18"/>
                <w:szCs w:val="18"/>
              </w:rPr>
              <w:t xml:space="preserve">ytterligare information väntas IM: </w:t>
            </w:r>
            <w:r w:rsidRPr="003818E8">
              <w:rPr>
                <w:rFonts w:ascii="Arial" w:hAnsi="Arial" w:cs="Arial"/>
                <w:sz w:val="18"/>
                <w:szCs w:val="18"/>
              </w:rPr>
              <w:t>Ministerkommittén väntar på ytterligare information om relevant utveckling angående vissa beslagtagna hjälpmedel.</w:t>
            </w:r>
          </w:p>
        </w:tc>
        <w:tc>
          <w:tcPr>
            <w:tcW w:w="2942" w:type="dxa"/>
          </w:tcPr>
          <w:p w14:paraId="2F29206E" w14:textId="77777777" w:rsidR="001A1B89" w:rsidRPr="003818E8" w:rsidRDefault="001A1B89" w:rsidP="00A47015">
            <w:pPr>
              <w:rPr>
                <w:rFonts w:ascii="Arial" w:hAnsi="Arial" w:cs="Arial"/>
                <w:sz w:val="18"/>
                <w:szCs w:val="18"/>
              </w:rPr>
            </w:pPr>
          </w:p>
        </w:tc>
      </w:tr>
      <w:tr w:rsidR="001A1B89" w:rsidRPr="003818E8" w14:paraId="0D645F1F" w14:textId="77777777" w:rsidTr="00A47015">
        <w:tc>
          <w:tcPr>
            <w:tcW w:w="2239" w:type="dxa"/>
          </w:tcPr>
          <w:p w14:paraId="12CBD19D" w14:textId="77777777" w:rsidR="001A1B89" w:rsidRPr="003818E8" w:rsidRDefault="001A1B89" w:rsidP="00A47015">
            <w:pPr>
              <w:rPr>
                <w:rFonts w:ascii="Arial" w:hAnsi="Arial" w:cs="Arial"/>
                <w:sz w:val="18"/>
                <w:szCs w:val="18"/>
                <w:u w:val="single"/>
              </w:rPr>
            </w:pPr>
            <w:r w:rsidRPr="003818E8">
              <w:rPr>
                <w:rFonts w:ascii="Arial" w:hAnsi="Arial" w:cs="Arial"/>
                <w:sz w:val="18"/>
                <w:szCs w:val="18"/>
                <w:u w:val="single"/>
              </w:rPr>
              <w:t>Återkommande fall</w:t>
            </w:r>
          </w:p>
          <w:p w14:paraId="3035354D" w14:textId="77777777" w:rsidR="001A1B89" w:rsidRPr="003818E8" w:rsidRDefault="001A1B89" w:rsidP="00A47015">
            <w:pPr>
              <w:rPr>
                <w:rFonts w:ascii="Arial" w:hAnsi="Arial" w:cs="Arial"/>
                <w:sz w:val="18"/>
                <w:szCs w:val="18"/>
              </w:rPr>
            </w:pPr>
            <w:proofErr w:type="spellStart"/>
            <w:r w:rsidRPr="003818E8">
              <w:rPr>
                <w:rFonts w:ascii="Arial" w:hAnsi="Arial" w:cs="Arial"/>
                <w:b/>
                <w:sz w:val="18"/>
                <w:szCs w:val="18"/>
              </w:rPr>
              <w:t>Janatuinen</w:t>
            </w:r>
            <w:proofErr w:type="spellEnd"/>
            <w:r w:rsidRPr="003818E8">
              <w:rPr>
                <w:rFonts w:ascii="Arial" w:hAnsi="Arial" w:cs="Arial"/>
                <w:b/>
                <w:sz w:val="18"/>
                <w:szCs w:val="18"/>
              </w:rPr>
              <w:t xml:space="preserve"> mot Finland</w:t>
            </w:r>
            <w:r w:rsidRPr="003818E8">
              <w:rPr>
                <w:rFonts w:ascii="Arial" w:hAnsi="Arial" w:cs="Arial"/>
                <w:sz w:val="18"/>
                <w:szCs w:val="18"/>
              </w:rPr>
              <w:t xml:space="preserve"> (</w:t>
            </w:r>
            <w:hyperlink r:id="rId18" w:history="1">
              <w:proofErr w:type="gramStart"/>
              <w:r w:rsidRPr="003818E8">
                <w:rPr>
                  <w:rFonts w:ascii="Arial" w:hAnsi="Arial" w:cs="Arial"/>
                  <w:color w:val="0563C1" w:themeColor="hyperlink"/>
                  <w:sz w:val="18"/>
                  <w:szCs w:val="18"/>
                  <w:u w:val="single"/>
                </w:rPr>
                <w:t>28552</w:t>
              </w:r>
              <w:proofErr w:type="gramEnd"/>
              <w:r w:rsidRPr="003818E8">
                <w:rPr>
                  <w:rFonts w:ascii="Arial" w:hAnsi="Arial" w:cs="Arial"/>
                  <w:color w:val="0563C1" w:themeColor="hyperlink"/>
                  <w:sz w:val="18"/>
                  <w:szCs w:val="18"/>
                  <w:u w:val="single"/>
                </w:rPr>
                <w:t>/05</w:t>
              </w:r>
            </w:hyperlink>
            <w:r w:rsidRPr="003818E8">
              <w:rPr>
                <w:rFonts w:ascii="Arial" w:hAnsi="Arial" w:cs="Arial"/>
                <w:sz w:val="18"/>
                <w:szCs w:val="18"/>
              </w:rPr>
              <w:t xml:space="preserve">) (ledande fall </w:t>
            </w:r>
            <w:proofErr w:type="spellStart"/>
            <w:r w:rsidRPr="003818E8">
              <w:rPr>
                <w:rFonts w:ascii="Arial" w:hAnsi="Arial" w:cs="Arial"/>
                <w:sz w:val="18"/>
                <w:szCs w:val="18"/>
              </w:rPr>
              <w:t>Natunen</w:t>
            </w:r>
            <w:proofErr w:type="spellEnd"/>
            <w:r w:rsidRPr="003818E8">
              <w:rPr>
                <w:rFonts w:ascii="Arial" w:hAnsi="Arial" w:cs="Arial"/>
                <w:sz w:val="18"/>
                <w:szCs w:val="18"/>
              </w:rPr>
              <w:t xml:space="preserve"> mot Finland, som redan har avlägsnats från övervakningen av verkställandet)</w:t>
            </w:r>
          </w:p>
          <w:p w14:paraId="044A8678" w14:textId="77777777" w:rsidR="001A1B89" w:rsidRPr="003818E8" w:rsidRDefault="001A1B89" w:rsidP="00A47015">
            <w:pPr>
              <w:rPr>
                <w:rFonts w:ascii="Arial" w:hAnsi="Arial" w:cs="Arial"/>
                <w:sz w:val="18"/>
                <w:szCs w:val="18"/>
              </w:rPr>
            </w:pPr>
          </w:p>
          <w:p w14:paraId="3A15659D" w14:textId="77777777" w:rsidR="001A1B89" w:rsidRPr="003818E8" w:rsidRDefault="001A1B89" w:rsidP="00A47015">
            <w:pPr>
              <w:rPr>
                <w:rFonts w:ascii="Arial" w:hAnsi="Arial" w:cs="Arial"/>
                <w:sz w:val="18"/>
                <w:szCs w:val="18"/>
              </w:rPr>
            </w:pPr>
            <w:r w:rsidRPr="003818E8">
              <w:rPr>
                <w:rFonts w:ascii="Arial" w:hAnsi="Arial" w:cs="Arial"/>
                <w:sz w:val="18"/>
                <w:szCs w:val="18"/>
              </w:rPr>
              <w:lastRenderedPageBreak/>
              <w:t>-CM senaste reprimander: 5.10.2017, 30.10.2019 och 11.12.2020</w:t>
            </w:r>
          </w:p>
        </w:tc>
        <w:tc>
          <w:tcPr>
            <w:tcW w:w="2329" w:type="dxa"/>
          </w:tcPr>
          <w:p w14:paraId="61E7FE77" w14:textId="77777777" w:rsidR="001A1B89" w:rsidRPr="003818E8" w:rsidRDefault="001A1B89" w:rsidP="00A47015">
            <w:pPr>
              <w:rPr>
                <w:rFonts w:ascii="Arial" w:hAnsi="Arial" w:cs="Arial"/>
                <w:sz w:val="18"/>
                <w:szCs w:val="18"/>
              </w:rPr>
            </w:pPr>
            <w:r w:rsidRPr="003818E8">
              <w:rPr>
                <w:rFonts w:ascii="Arial" w:hAnsi="Arial" w:cs="Arial"/>
                <w:sz w:val="18"/>
                <w:szCs w:val="18"/>
              </w:rPr>
              <w:lastRenderedPageBreak/>
              <w:t xml:space="preserve">08.3.2010 </w:t>
            </w:r>
          </w:p>
        </w:tc>
        <w:tc>
          <w:tcPr>
            <w:tcW w:w="3224" w:type="dxa"/>
          </w:tcPr>
          <w:p w14:paraId="1C1A118B" w14:textId="77777777" w:rsidR="001A1B89" w:rsidRPr="003818E8" w:rsidRDefault="001A1B89" w:rsidP="00A47015">
            <w:pPr>
              <w:rPr>
                <w:rFonts w:ascii="Arial" w:hAnsi="Arial" w:cs="Arial"/>
                <w:b/>
                <w:bCs/>
                <w:sz w:val="18"/>
                <w:szCs w:val="18"/>
              </w:rPr>
            </w:pPr>
            <w:r w:rsidRPr="003818E8">
              <w:rPr>
                <w:rFonts w:ascii="Arial" w:hAnsi="Arial" w:cs="Arial"/>
                <w:b/>
                <w:sz w:val="18"/>
                <w:szCs w:val="18"/>
              </w:rPr>
              <w:t xml:space="preserve">artikel 6(1) och 6(3)b </w:t>
            </w:r>
          </w:p>
          <w:p w14:paraId="2F1FD412" w14:textId="77777777" w:rsidR="001A1B89" w:rsidRPr="003818E8" w:rsidRDefault="001A1B89" w:rsidP="00A47015">
            <w:pPr>
              <w:rPr>
                <w:rFonts w:ascii="Arial" w:hAnsi="Arial" w:cs="Arial"/>
                <w:sz w:val="18"/>
                <w:szCs w:val="18"/>
              </w:rPr>
            </w:pPr>
            <w:r w:rsidRPr="003818E8">
              <w:rPr>
                <w:rFonts w:ascii="Arial" w:hAnsi="Arial" w:cs="Arial"/>
                <w:sz w:val="18"/>
                <w:szCs w:val="18"/>
              </w:rPr>
              <w:t>Saken handlade om likartad ställning och om att klagandens rätt att använda lämpliga hjälpmedel för att förbereda sitt försvar hade kränkts till följd av att polisen hade förstört vissa telefoninspelningar i ett mycket tidigt skede av brottsutredningen.</w:t>
            </w:r>
          </w:p>
        </w:tc>
        <w:tc>
          <w:tcPr>
            <w:tcW w:w="3260" w:type="dxa"/>
          </w:tcPr>
          <w:p w14:paraId="73177075" w14:textId="77777777" w:rsidR="001A1B89" w:rsidRPr="003818E8" w:rsidRDefault="001A1B89" w:rsidP="00A47015">
            <w:pPr>
              <w:rPr>
                <w:rFonts w:ascii="Arial" w:hAnsi="Arial" w:cs="Arial"/>
                <w:sz w:val="18"/>
                <w:szCs w:val="18"/>
              </w:rPr>
            </w:pPr>
            <w:r w:rsidRPr="003818E8">
              <w:rPr>
                <w:rFonts w:ascii="Arial" w:hAnsi="Arial" w:cs="Arial"/>
                <w:sz w:val="18"/>
                <w:szCs w:val="18"/>
              </w:rPr>
              <w:t xml:space="preserve">Den klagande klagade över att Högsta domstolen hade förkastat begäran att öppna fallet på nytt. Myndigheterna hade informerats om detta 17.2.2014. </w:t>
            </w:r>
          </w:p>
          <w:p w14:paraId="65422200" w14:textId="77777777" w:rsidR="001A1B89" w:rsidRPr="003818E8" w:rsidRDefault="001A1B89" w:rsidP="00A47015">
            <w:pPr>
              <w:rPr>
                <w:rFonts w:ascii="Arial" w:hAnsi="Arial" w:cs="Arial"/>
                <w:sz w:val="18"/>
                <w:szCs w:val="18"/>
              </w:rPr>
            </w:pPr>
            <w:r w:rsidRPr="003818E8">
              <w:rPr>
                <w:rFonts w:ascii="Arial" w:hAnsi="Arial" w:cs="Arial"/>
                <w:b/>
                <w:sz w:val="18"/>
                <w:szCs w:val="18"/>
              </w:rPr>
              <w:t>ytterligare information väntas IM</w:t>
            </w:r>
            <w:r w:rsidRPr="003818E8">
              <w:rPr>
                <w:rFonts w:ascii="Arial" w:hAnsi="Arial" w:cs="Arial"/>
                <w:sz w:val="18"/>
                <w:szCs w:val="18"/>
              </w:rPr>
              <w:t>: Ministerkommittén väntar på myndigheternas kommentarer om de frågor som den klagande lyft fram.</w:t>
            </w:r>
          </w:p>
        </w:tc>
        <w:tc>
          <w:tcPr>
            <w:tcW w:w="2942" w:type="dxa"/>
          </w:tcPr>
          <w:p w14:paraId="351F509D" w14:textId="77777777" w:rsidR="001A1B89" w:rsidRPr="003818E8" w:rsidRDefault="001A1B89" w:rsidP="00A47015">
            <w:pPr>
              <w:rPr>
                <w:rFonts w:ascii="Arial" w:hAnsi="Arial" w:cs="Arial"/>
                <w:sz w:val="18"/>
                <w:szCs w:val="18"/>
              </w:rPr>
            </w:pPr>
          </w:p>
        </w:tc>
      </w:tr>
    </w:tbl>
    <w:p w14:paraId="5EA1D1B2" w14:textId="77777777" w:rsidR="001A1B89" w:rsidRPr="003818E8" w:rsidRDefault="001A1B89" w:rsidP="001A1B89">
      <w:pPr>
        <w:rPr>
          <w:rFonts w:ascii="Arial" w:hAnsi="Arial" w:cs="Arial"/>
          <w:sz w:val="18"/>
          <w:szCs w:val="18"/>
        </w:rPr>
      </w:pPr>
      <w:r w:rsidRPr="003818E8">
        <w:rPr>
          <w:sz w:val="18"/>
          <w:szCs w:val="18"/>
        </w:rPr>
        <w:br w:type="textWrapping" w:clear="all"/>
      </w:r>
    </w:p>
    <w:p w14:paraId="52D35070" w14:textId="77777777" w:rsidR="000E216D" w:rsidRPr="003818E8" w:rsidRDefault="000E216D">
      <w:pPr>
        <w:rPr>
          <w:sz w:val="18"/>
          <w:szCs w:val="18"/>
        </w:rPr>
      </w:pPr>
    </w:p>
    <w:sectPr w:rsidR="000E216D" w:rsidRPr="003818E8" w:rsidSect="001A1B89">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1799" w14:textId="77777777" w:rsidR="001A1B89" w:rsidRDefault="001A1B89" w:rsidP="001A1B89">
      <w:pPr>
        <w:spacing w:after="0" w:line="240" w:lineRule="auto"/>
      </w:pPr>
      <w:r>
        <w:separator/>
      </w:r>
    </w:p>
  </w:endnote>
  <w:endnote w:type="continuationSeparator" w:id="0">
    <w:p w14:paraId="3AFD6CE8" w14:textId="77777777" w:rsidR="001A1B89" w:rsidRDefault="001A1B89" w:rsidP="001A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7D39" w14:textId="77777777" w:rsidR="001A1B89" w:rsidRDefault="001A1B89" w:rsidP="001A1B89">
      <w:pPr>
        <w:spacing w:after="0" w:line="240" w:lineRule="auto"/>
      </w:pPr>
      <w:r>
        <w:separator/>
      </w:r>
    </w:p>
  </w:footnote>
  <w:footnote w:type="continuationSeparator" w:id="0">
    <w:p w14:paraId="03263714" w14:textId="77777777" w:rsidR="001A1B89" w:rsidRDefault="001A1B89" w:rsidP="001A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92A40"/>
    <w:multiLevelType w:val="hybridMultilevel"/>
    <w:tmpl w:val="0518C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483D16"/>
    <w:multiLevelType w:val="hybridMultilevel"/>
    <w:tmpl w:val="395044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A14464"/>
    <w:multiLevelType w:val="hybridMultilevel"/>
    <w:tmpl w:val="A0845A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9E3AFF"/>
    <w:multiLevelType w:val="hybridMultilevel"/>
    <w:tmpl w:val="86365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125004">
    <w:abstractNumId w:val="1"/>
  </w:num>
  <w:num w:numId="2" w16cid:durableId="1641420752">
    <w:abstractNumId w:val="3"/>
  </w:num>
  <w:num w:numId="3" w16cid:durableId="1245340600">
    <w:abstractNumId w:val="0"/>
  </w:num>
  <w:num w:numId="4" w16cid:durableId="1521894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89"/>
    <w:rsid w:val="000E216D"/>
    <w:rsid w:val="001A1B89"/>
    <w:rsid w:val="002A254A"/>
    <w:rsid w:val="00381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9AE9"/>
  <w15:chartTrackingRefBased/>
  <w15:docId w15:val="{837BC08B-15C5-4752-BEAE-EC373BC0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1B89"/>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A1B89"/>
    <w:pPr>
      <w:spacing w:after="0" w:line="240" w:lineRule="auto"/>
    </w:pPr>
    <w:rPr>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1A1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xec.coe.int/eng?i=004-6022" TargetMode="External"/><Relationship Id="rId13" Type="http://schemas.openxmlformats.org/officeDocument/2006/relationships/hyperlink" Target="http://hudoc.exec.coe.int/eng?i=004-5968" TargetMode="External"/><Relationship Id="rId18" Type="http://schemas.openxmlformats.org/officeDocument/2006/relationships/hyperlink" Target="http://hudoc.exec.coe.int/eng?i=004-5988" TargetMode="External"/><Relationship Id="rId3" Type="http://schemas.openxmlformats.org/officeDocument/2006/relationships/settings" Target="settings.xml"/><Relationship Id="rId7" Type="http://schemas.openxmlformats.org/officeDocument/2006/relationships/hyperlink" Target="http://hudoc.exec.coe.int/eng?i=004-56529" TargetMode="External"/><Relationship Id="rId12" Type="http://schemas.openxmlformats.org/officeDocument/2006/relationships/hyperlink" Target="http://hudoc.exec.coe.int/eng?i=004-5972" TargetMode="External"/><Relationship Id="rId17" Type="http://schemas.openxmlformats.org/officeDocument/2006/relationships/hyperlink" Target="http://hudoc.exec.coe.int/eng?i=004-5962" TargetMode="External"/><Relationship Id="rId2" Type="http://schemas.openxmlformats.org/officeDocument/2006/relationships/styles" Target="styles.xml"/><Relationship Id="rId16" Type="http://schemas.openxmlformats.org/officeDocument/2006/relationships/hyperlink" Target="http://hudoc.exec.coe.int/eng?i=004-59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xec.coe.int/eng?i=004-6018" TargetMode="External"/><Relationship Id="rId5" Type="http://schemas.openxmlformats.org/officeDocument/2006/relationships/footnotes" Target="footnotes.xml"/><Relationship Id="rId15" Type="http://schemas.openxmlformats.org/officeDocument/2006/relationships/hyperlink" Target="http://hudoc.exec.coe.int/eng?i=004-5960" TargetMode="External"/><Relationship Id="rId10" Type="http://schemas.openxmlformats.org/officeDocument/2006/relationships/hyperlink" Target="http://hudoc.exec.coe.int/eng?i=004-59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doc.exec.coe.int/eng?i=004-6008" TargetMode="External"/><Relationship Id="rId14" Type="http://schemas.openxmlformats.org/officeDocument/2006/relationships/hyperlink" Target="https://hudoc.echr.coe.int/eng?i=001-21280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11697</Characters>
  <Application>Microsoft Office Word</Application>
  <DocSecurity>0</DocSecurity>
  <Lines>97</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Emmi</dc:creator>
  <cp:keywords/>
  <dc:description/>
  <cp:lastModifiedBy>Kupiainen Emmi</cp:lastModifiedBy>
  <cp:revision>3</cp:revision>
  <dcterms:created xsi:type="dcterms:W3CDTF">2023-02-27T11:57:00Z</dcterms:created>
  <dcterms:modified xsi:type="dcterms:W3CDTF">2023-02-27T12:00:00Z</dcterms:modified>
</cp:coreProperties>
</file>