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2DD09" w14:textId="77777777" w:rsidR="00FB68C3" w:rsidRDefault="00FB68C3" w:rsidP="00810597">
      <w:pPr>
        <w:rPr>
          <w:rFonts w:ascii="Arial" w:hAnsi="Arial" w:cs="Arial"/>
          <w:b/>
          <w:bCs/>
          <w:color w:val="C94F29"/>
          <w:u w:val="single"/>
          <w:lang w:val="en-US"/>
        </w:rPr>
      </w:pPr>
    </w:p>
    <w:p w14:paraId="72F978D1" w14:textId="77777777" w:rsidR="00103C1E" w:rsidRDefault="00103C1E" w:rsidP="00810597">
      <w:pPr>
        <w:rPr>
          <w:rFonts w:ascii="Arial" w:hAnsi="Arial" w:cs="Arial"/>
          <w:b/>
          <w:bCs/>
          <w:sz w:val="18"/>
          <w:szCs w:val="18"/>
          <w:lang w:val="en-US"/>
        </w:rPr>
      </w:pPr>
    </w:p>
    <w:p w14:paraId="66C47511" w14:textId="0126ABC0" w:rsidR="00810597" w:rsidRPr="00414B7C" w:rsidRDefault="009179FB" w:rsidP="00810597">
      <w:pPr>
        <w:rPr>
          <w:rFonts w:ascii="Arial" w:hAnsi="Arial" w:cs="Arial"/>
          <w:b/>
          <w:bCs/>
          <w:color w:val="E54311"/>
          <w:sz w:val="24"/>
          <w:szCs w:val="24"/>
          <w:lang w:val="en-US"/>
        </w:rPr>
      </w:pPr>
      <w:r w:rsidRPr="00414B7C">
        <w:rPr>
          <w:rFonts w:ascii="Arial" w:hAnsi="Arial" w:cs="Arial"/>
          <w:b/>
          <w:bCs/>
          <w:color w:val="E54311"/>
          <w:sz w:val="24"/>
          <w:szCs w:val="24"/>
          <w:lang w:val="en-US"/>
        </w:rPr>
        <w:t xml:space="preserve">Pending cases of </w:t>
      </w:r>
      <w:r w:rsidR="00810597" w:rsidRPr="00414B7C">
        <w:rPr>
          <w:rFonts w:ascii="Arial" w:hAnsi="Arial" w:cs="Arial"/>
          <w:b/>
          <w:bCs/>
          <w:color w:val="E54311"/>
          <w:sz w:val="24"/>
          <w:szCs w:val="24"/>
          <w:lang w:val="en-US"/>
        </w:rPr>
        <w:t>Europ</w:t>
      </w:r>
      <w:r w:rsidRPr="00414B7C">
        <w:rPr>
          <w:rFonts w:ascii="Arial" w:hAnsi="Arial" w:cs="Arial"/>
          <w:b/>
          <w:bCs/>
          <w:color w:val="E54311"/>
          <w:sz w:val="24"/>
          <w:szCs w:val="24"/>
          <w:lang w:val="en-US"/>
        </w:rPr>
        <w:t>e</w:t>
      </w:r>
      <w:r w:rsidR="00810597" w:rsidRPr="00414B7C">
        <w:rPr>
          <w:rFonts w:ascii="Arial" w:hAnsi="Arial" w:cs="Arial"/>
          <w:b/>
          <w:bCs/>
          <w:color w:val="E54311"/>
          <w:sz w:val="24"/>
          <w:szCs w:val="24"/>
          <w:lang w:val="en-US"/>
        </w:rPr>
        <w:t xml:space="preserve">an </w:t>
      </w:r>
      <w:r w:rsidRPr="00414B7C">
        <w:rPr>
          <w:rFonts w:ascii="Arial" w:hAnsi="Arial" w:cs="Arial"/>
          <w:b/>
          <w:bCs/>
          <w:color w:val="E54311"/>
          <w:sz w:val="24"/>
          <w:szCs w:val="24"/>
          <w:lang w:val="en-US"/>
        </w:rPr>
        <w:t>Committee of Social Rights concerning Finland, waiting implementation</w:t>
      </w:r>
      <w:r w:rsidR="00BD64A2" w:rsidRPr="00414B7C">
        <w:rPr>
          <w:rStyle w:val="Alaviitteenviite"/>
          <w:rFonts w:ascii="Arial" w:hAnsi="Arial" w:cs="Arial"/>
          <w:b/>
          <w:bCs/>
          <w:color w:val="E54311"/>
          <w:sz w:val="24"/>
          <w:szCs w:val="24"/>
          <w:lang w:val="en-US"/>
        </w:rPr>
        <w:footnoteReference w:id="1"/>
      </w:r>
    </w:p>
    <w:p w14:paraId="0A3EE0C5" w14:textId="77777777" w:rsidR="00103C1E" w:rsidRPr="0068181C" w:rsidRDefault="00103C1E" w:rsidP="00810597">
      <w:pPr>
        <w:rPr>
          <w:rFonts w:ascii="Arial" w:hAnsi="Arial" w:cs="Arial"/>
          <w:b/>
          <w:bCs/>
          <w:sz w:val="18"/>
          <w:szCs w:val="18"/>
          <w:lang w:val="en-US"/>
        </w:rPr>
      </w:pPr>
    </w:p>
    <w:tbl>
      <w:tblPr>
        <w:tblStyle w:val="TaulukkoRuudukko"/>
        <w:tblW w:w="0" w:type="auto"/>
        <w:tblLook w:val="04A0" w:firstRow="1" w:lastRow="0" w:firstColumn="1" w:lastColumn="0" w:noHBand="0" w:noVBand="1"/>
      </w:tblPr>
      <w:tblGrid>
        <w:gridCol w:w="2728"/>
        <w:gridCol w:w="1945"/>
        <w:gridCol w:w="2410"/>
        <w:gridCol w:w="3402"/>
        <w:gridCol w:w="3509"/>
      </w:tblGrid>
      <w:tr w:rsidR="00810597" w:rsidRPr="0068181C" w14:paraId="5231F1BE" w14:textId="77777777" w:rsidTr="00004F15">
        <w:tc>
          <w:tcPr>
            <w:tcW w:w="2728" w:type="dxa"/>
          </w:tcPr>
          <w:p w14:paraId="19CBF567" w14:textId="30C38734" w:rsidR="00810597" w:rsidRPr="0068181C" w:rsidRDefault="009179FB" w:rsidP="00810597">
            <w:pPr>
              <w:spacing w:after="160" w:line="259" w:lineRule="auto"/>
              <w:rPr>
                <w:rFonts w:ascii="Arial" w:hAnsi="Arial" w:cs="Arial"/>
                <w:b/>
                <w:bCs/>
                <w:sz w:val="18"/>
                <w:szCs w:val="18"/>
                <w:lang w:val="en-US"/>
              </w:rPr>
            </w:pPr>
            <w:r w:rsidRPr="0068181C">
              <w:rPr>
                <w:rFonts w:ascii="Arial" w:hAnsi="Arial" w:cs="Arial"/>
                <w:b/>
                <w:bCs/>
                <w:sz w:val="18"/>
                <w:szCs w:val="18"/>
                <w:lang w:val="en-US"/>
              </w:rPr>
              <w:t>Case</w:t>
            </w:r>
          </w:p>
        </w:tc>
        <w:tc>
          <w:tcPr>
            <w:tcW w:w="1945" w:type="dxa"/>
          </w:tcPr>
          <w:p w14:paraId="40923D4B" w14:textId="281E6EBD" w:rsidR="00810597" w:rsidRPr="0068181C" w:rsidRDefault="009179FB" w:rsidP="00810597">
            <w:pPr>
              <w:spacing w:after="160" w:line="259" w:lineRule="auto"/>
              <w:rPr>
                <w:rFonts w:ascii="Arial" w:hAnsi="Arial" w:cs="Arial"/>
                <w:b/>
                <w:bCs/>
                <w:sz w:val="18"/>
                <w:szCs w:val="18"/>
                <w:lang w:val="en-US"/>
              </w:rPr>
            </w:pPr>
            <w:r w:rsidRPr="0068181C">
              <w:rPr>
                <w:rFonts w:ascii="Arial" w:hAnsi="Arial" w:cs="Arial"/>
                <w:b/>
                <w:bCs/>
                <w:sz w:val="18"/>
                <w:szCs w:val="18"/>
                <w:lang w:val="en-US"/>
              </w:rPr>
              <w:t>Decision given</w:t>
            </w:r>
          </w:p>
        </w:tc>
        <w:tc>
          <w:tcPr>
            <w:tcW w:w="2410" w:type="dxa"/>
          </w:tcPr>
          <w:p w14:paraId="45464E06" w14:textId="35744539" w:rsidR="00810597" w:rsidRPr="0068181C" w:rsidRDefault="009179FB" w:rsidP="00810597">
            <w:pPr>
              <w:spacing w:after="160" w:line="259" w:lineRule="auto"/>
              <w:rPr>
                <w:rFonts w:ascii="Arial" w:hAnsi="Arial" w:cs="Arial"/>
                <w:b/>
                <w:bCs/>
                <w:sz w:val="18"/>
                <w:szCs w:val="18"/>
                <w:lang w:val="en-US"/>
              </w:rPr>
            </w:pPr>
            <w:r w:rsidRPr="0068181C">
              <w:rPr>
                <w:rFonts w:ascii="Arial" w:hAnsi="Arial" w:cs="Arial"/>
                <w:b/>
                <w:bCs/>
                <w:sz w:val="18"/>
                <w:szCs w:val="18"/>
                <w:lang w:val="en-US"/>
              </w:rPr>
              <w:t>Situation</w:t>
            </w:r>
          </w:p>
        </w:tc>
        <w:tc>
          <w:tcPr>
            <w:tcW w:w="3402" w:type="dxa"/>
          </w:tcPr>
          <w:p w14:paraId="352C059C" w14:textId="1E619CEC" w:rsidR="00810597" w:rsidRPr="0068181C" w:rsidRDefault="009179FB" w:rsidP="00810597">
            <w:pPr>
              <w:spacing w:after="160" w:line="259" w:lineRule="auto"/>
              <w:rPr>
                <w:rFonts w:ascii="Arial" w:hAnsi="Arial" w:cs="Arial"/>
                <w:b/>
                <w:bCs/>
                <w:sz w:val="18"/>
                <w:szCs w:val="18"/>
                <w:lang w:val="en-US"/>
              </w:rPr>
            </w:pPr>
            <w:r w:rsidRPr="0068181C">
              <w:rPr>
                <w:rFonts w:ascii="Arial" w:hAnsi="Arial" w:cs="Arial"/>
                <w:b/>
                <w:bCs/>
                <w:sz w:val="18"/>
                <w:szCs w:val="18"/>
                <w:lang w:val="en-US"/>
              </w:rPr>
              <w:t>Violation and content</w:t>
            </w:r>
          </w:p>
        </w:tc>
        <w:tc>
          <w:tcPr>
            <w:tcW w:w="3509" w:type="dxa"/>
          </w:tcPr>
          <w:p w14:paraId="74E00BCF" w14:textId="3DD54451" w:rsidR="00810597" w:rsidRPr="0068181C" w:rsidRDefault="009179FB" w:rsidP="00810597">
            <w:pPr>
              <w:spacing w:after="160" w:line="259" w:lineRule="auto"/>
              <w:rPr>
                <w:rFonts w:ascii="Arial" w:hAnsi="Arial" w:cs="Arial"/>
                <w:b/>
                <w:bCs/>
                <w:sz w:val="18"/>
                <w:szCs w:val="18"/>
                <w:lang w:val="en-US"/>
              </w:rPr>
            </w:pPr>
            <w:r w:rsidRPr="0068181C">
              <w:rPr>
                <w:rFonts w:ascii="Arial" w:hAnsi="Arial" w:cs="Arial"/>
                <w:b/>
                <w:bCs/>
                <w:sz w:val="18"/>
                <w:szCs w:val="18"/>
                <w:lang w:val="en-US"/>
              </w:rPr>
              <w:t>Measures</w:t>
            </w:r>
          </w:p>
        </w:tc>
      </w:tr>
      <w:tr w:rsidR="00810597" w:rsidRPr="00414B7C" w14:paraId="02B3C68F" w14:textId="77777777" w:rsidTr="00DB3602">
        <w:tc>
          <w:tcPr>
            <w:tcW w:w="2728" w:type="dxa"/>
            <w:shd w:val="clear" w:color="auto" w:fill="auto"/>
          </w:tcPr>
          <w:p w14:paraId="6113F571" w14:textId="357E21C2" w:rsidR="00810597" w:rsidRPr="0068181C" w:rsidRDefault="00810597" w:rsidP="00810597">
            <w:pPr>
              <w:spacing w:after="160" w:line="259" w:lineRule="auto"/>
              <w:rPr>
                <w:rFonts w:ascii="Arial" w:hAnsi="Arial" w:cs="Arial"/>
                <w:sz w:val="18"/>
                <w:szCs w:val="18"/>
                <w:lang w:val="en-US"/>
              </w:rPr>
            </w:pPr>
            <w:r w:rsidRPr="0068181C">
              <w:rPr>
                <w:rFonts w:ascii="Arial" w:hAnsi="Arial" w:cs="Arial"/>
                <w:b/>
                <w:bCs/>
                <w:sz w:val="18"/>
                <w:szCs w:val="18"/>
                <w:lang w:val="en-US"/>
              </w:rPr>
              <w:t xml:space="preserve">Association of Care Giving Relatives and Friends v. Finland </w:t>
            </w:r>
            <w:r w:rsidRPr="0068181C">
              <w:rPr>
                <w:rFonts w:ascii="Arial" w:hAnsi="Arial" w:cs="Arial"/>
                <w:sz w:val="18"/>
                <w:szCs w:val="18"/>
                <w:lang w:val="en-US"/>
              </w:rPr>
              <w:t>(</w:t>
            </w:r>
            <w:r w:rsidR="00414B7C">
              <w:fldChar w:fldCharType="begin"/>
            </w:r>
            <w:r w:rsidR="00414B7C" w:rsidRPr="00414B7C">
              <w:rPr>
                <w:lang w:val="en-GB"/>
              </w:rPr>
              <w:instrText xml:space="preserve"> HYPERLINK "https://www.coe.int/en/web/european-social-charter/processed-complaints/-/asset_publisher/5GEFkJmH2bYG/content/no-70-2011-the-central-association-of-carers-in-finland-v-finland?inheritRedirect=false&amp;redirect=https%3A%2F%2Fwww.coe.int%2Fen%2Fweb</w:instrText>
            </w:r>
            <w:r w:rsidR="00414B7C" w:rsidRPr="00414B7C">
              <w:rPr>
                <w:lang w:val="en-GB"/>
              </w:rPr>
              <w:instrText>%2Feuropean-social-charter%2Fprocessed-complaints%3Fp_p_id%3D101_INSTANCE_5GEFkJmH2bYG%26p_p_lifecycle%3D0%26p_p_state%3Dnormal%26p_p_mode%3Dview%26p_p_col_id%3Dcolumn-4%26p_p_col_count%3D1%26p_r_p_564233524_resetCur%3Dtrue%26p_r_p_564233524_categoryId%3D2</w:instrText>
            </w:r>
            <w:r w:rsidR="00414B7C" w:rsidRPr="00414B7C">
              <w:rPr>
                <w:lang w:val="en-GB"/>
              </w:rPr>
              <w:instrText xml:space="preserve">8547786" </w:instrText>
            </w:r>
            <w:r w:rsidR="00414B7C">
              <w:fldChar w:fldCharType="separate"/>
            </w:r>
            <w:r w:rsidR="000F2C7A" w:rsidRPr="0068181C">
              <w:rPr>
                <w:rFonts w:ascii="Arial" w:hAnsi="Arial" w:cs="Arial"/>
                <w:sz w:val="18"/>
                <w:szCs w:val="18"/>
                <w:lang w:val="en-US"/>
              </w:rPr>
              <w:t xml:space="preserve">complaint </w:t>
            </w:r>
            <w:r w:rsidRPr="0068181C">
              <w:rPr>
                <w:rStyle w:val="Hyperlinkki"/>
                <w:rFonts w:ascii="Arial" w:hAnsi="Arial" w:cs="Arial"/>
                <w:sz w:val="18"/>
                <w:szCs w:val="18"/>
                <w:lang w:val="en-US"/>
              </w:rPr>
              <w:t>no. 70/2011</w:t>
            </w:r>
            <w:r w:rsidR="00414B7C">
              <w:rPr>
                <w:rStyle w:val="Hyperlinkki"/>
                <w:rFonts w:ascii="Arial" w:hAnsi="Arial" w:cs="Arial"/>
                <w:sz w:val="18"/>
                <w:szCs w:val="18"/>
                <w:lang w:val="en-US"/>
              </w:rPr>
              <w:fldChar w:fldCharType="end"/>
            </w:r>
            <w:r w:rsidRPr="0068181C">
              <w:rPr>
                <w:rFonts w:ascii="Arial" w:hAnsi="Arial" w:cs="Arial"/>
                <w:sz w:val="18"/>
                <w:szCs w:val="18"/>
                <w:lang w:val="en-US"/>
              </w:rPr>
              <w:t>)</w:t>
            </w:r>
          </w:p>
          <w:p w14:paraId="55BBCDB6" w14:textId="77777777" w:rsidR="00810597" w:rsidRPr="0068181C" w:rsidRDefault="00810597" w:rsidP="00810597">
            <w:pPr>
              <w:spacing w:after="160" w:line="259" w:lineRule="auto"/>
              <w:rPr>
                <w:rFonts w:ascii="Arial" w:hAnsi="Arial" w:cs="Arial"/>
                <w:sz w:val="18"/>
                <w:szCs w:val="18"/>
                <w:lang w:val="en-US"/>
              </w:rPr>
            </w:pPr>
          </w:p>
          <w:p w14:paraId="20CF9AE8" w14:textId="0286DC6B" w:rsidR="00810597" w:rsidRPr="000A118E" w:rsidRDefault="00103C1E" w:rsidP="000A118E">
            <w:pPr>
              <w:rPr>
                <w:rFonts w:ascii="Arial" w:hAnsi="Arial" w:cs="Arial"/>
                <w:sz w:val="18"/>
                <w:szCs w:val="18"/>
                <w:lang w:val="en-US"/>
              </w:rPr>
            </w:pPr>
            <w:r w:rsidRPr="000A118E">
              <w:rPr>
                <w:rFonts w:ascii="Arial" w:hAnsi="Arial" w:cs="Arial"/>
                <w:sz w:val="18"/>
                <w:szCs w:val="18"/>
                <w:lang w:val="en-US"/>
              </w:rPr>
              <w:t>4</w:t>
            </w:r>
            <w:r w:rsidRPr="000A118E">
              <w:rPr>
                <w:rFonts w:ascii="Arial" w:hAnsi="Arial" w:cs="Arial"/>
                <w:sz w:val="18"/>
                <w:szCs w:val="18"/>
                <w:vertAlign w:val="superscript"/>
                <w:lang w:val="en-US"/>
              </w:rPr>
              <w:t>th</w:t>
            </w:r>
            <w:r w:rsidRPr="000A118E">
              <w:rPr>
                <w:rFonts w:ascii="Arial" w:hAnsi="Arial" w:cs="Arial"/>
                <w:sz w:val="18"/>
                <w:szCs w:val="18"/>
                <w:lang w:val="en-US"/>
              </w:rPr>
              <w:t xml:space="preserve"> </w:t>
            </w:r>
            <w:r w:rsidR="00491E3B" w:rsidRPr="000A118E">
              <w:rPr>
                <w:rFonts w:ascii="Arial" w:hAnsi="Arial" w:cs="Arial"/>
                <w:sz w:val="18"/>
                <w:szCs w:val="18"/>
                <w:lang w:val="en-US"/>
              </w:rPr>
              <w:t xml:space="preserve">assessment of </w:t>
            </w:r>
            <w:r w:rsidR="00B958A6" w:rsidRPr="000A118E">
              <w:rPr>
                <w:rFonts w:ascii="Arial" w:hAnsi="Arial" w:cs="Arial"/>
                <w:sz w:val="18"/>
                <w:szCs w:val="18"/>
                <w:lang w:val="en-US"/>
              </w:rPr>
              <w:t xml:space="preserve">the ECSR of </w:t>
            </w:r>
            <w:r w:rsidR="00491E3B" w:rsidRPr="000A118E">
              <w:rPr>
                <w:rFonts w:ascii="Arial" w:hAnsi="Arial" w:cs="Arial"/>
                <w:sz w:val="18"/>
                <w:szCs w:val="18"/>
                <w:lang w:val="en-US"/>
              </w:rPr>
              <w:t>the</w:t>
            </w:r>
            <w:r w:rsidR="002C6C42" w:rsidRPr="000A118E">
              <w:rPr>
                <w:rFonts w:ascii="Arial" w:hAnsi="Arial" w:cs="Arial"/>
                <w:sz w:val="18"/>
                <w:szCs w:val="18"/>
                <w:lang w:val="en-US"/>
              </w:rPr>
              <w:t xml:space="preserve"> follow-up from 202</w:t>
            </w:r>
            <w:r w:rsidRPr="000A118E">
              <w:rPr>
                <w:rFonts w:ascii="Arial" w:hAnsi="Arial" w:cs="Arial"/>
                <w:sz w:val="18"/>
                <w:szCs w:val="18"/>
                <w:lang w:val="en-US"/>
              </w:rPr>
              <w:t>1</w:t>
            </w:r>
            <w:r w:rsidR="0056012F">
              <w:rPr>
                <w:rFonts w:ascii="Arial" w:hAnsi="Arial" w:cs="Arial"/>
                <w:sz w:val="18"/>
                <w:szCs w:val="18"/>
                <w:lang w:val="en-US"/>
              </w:rPr>
              <w:t>.</w:t>
            </w:r>
          </w:p>
        </w:tc>
        <w:tc>
          <w:tcPr>
            <w:tcW w:w="1945" w:type="dxa"/>
            <w:shd w:val="clear" w:color="auto" w:fill="auto"/>
          </w:tcPr>
          <w:p w14:paraId="57767D50" w14:textId="3584259E" w:rsidR="00810597" w:rsidRPr="0068181C" w:rsidRDefault="00810597" w:rsidP="00810597">
            <w:pPr>
              <w:spacing w:after="160" w:line="259" w:lineRule="auto"/>
              <w:rPr>
                <w:rFonts w:ascii="Arial" w:hAnsi="Arial" w:cs="Arial"/>
                <w:sz w:val="18"/>
                <w:szCs w:val="18"/>
                <w:lang w:val="en-US"/>
              </w:rPr>
            </w:pPr>
            <w:r w:rsidRPr="0068181C">
              <w:rPr>
                <w:rFonts w:ascii="Arial" w:hAnsi="Arial" w:cs="Arial"/>
                <w:sz w:val="18"/>
                <w:szCs w:val="18"/>
                <w:lang w:val="en-US"/>
              </w:rPr>
              <w:t>4</w:t>
            </w:r>
            <w:r w:rsidR="00EA4676" w:rsidRPr="0068181C">
              <w:rPr>
                <w:rFonts w:ascii="Arial" w:hAnsi="Arial" w:cs="Arial"/>
                <w:sz w:val="18"/>
                <w:szCs w:val="18"/>
                <w:lang w:val="en-US"/>
              </w:rPr>
              <w:t xml:space="preserve"> December </w:t>
            </w:r>
            <w:r w:rsidRPr="0068181C">
              <w:rPr>
                <w:rFonts w:ascii="Arial" w:hAnsi="Arial" w:cs="Arial"/>
                <w:sz w:val="18"/>
                <w:szCs w:val="18"/>
                <w:lang w:val="en-US"/>
              </w:rPr>
              <w:t>2012</w:t>
            </w:r>
          </w:p>
        </w:tc>
        <w:tc>
          <w:tcPr>
            <w:tcW w:w="2410" w:type="dxa"/>
            <w:shd w:val="clear" w:color="auto" w:fill="auto"/>
          </w:tcPr>
          <w:p w14:paraId="77B24764" w14:textId="3F9A1F11" w:rsidR="00810597" w:rsidRPr="0068181C" w:rsidRDefault="002C6C42" w:rsidP="00810597">
            <w:pPr>
              <w:spacing w:after="160" w:line="259" w:lineRule="auto"/>
              <w:rPr>
                <w:rFonts w:ascii="Arial" w:hAnsi="Arial" w:cs="Arial"/>
                <w:sz w:val="18"/>
                <w:szCs w:val="18"/>
                <w:lang w:val="en-US"/>
              </w:rPr>
            </w:pPr>
            <w:r w:rsidRPr="0068181C">
              <w:rPr>
                <w:rFonts w:ascii="Arial" w:hAnsi="Arial" w:cs="Arial"/>
                <w:sz w:val="18"/>
                <w:szCs w:val="18"/>
                <w:lang w:val="en-US"/>
              </w:rPr>
              <w:t xml:space="preserve">The Committee of Social Rights has found a violation, and progress has been made, but </w:t>
            </w:r>
            <w:r w:rsidR="00D50459" w:rsidRPr="0068181C">
              <w:rPr>
                <w:rFonts w:ascii="Arial" w:hAnsi="Arial" w:cs="Arial"/>
                <w:sz w:val="18"/>
                <w:szCs w:val="18"/>
                <w:lang w:val="en-US"/>
              </w:rPr>
              <w:t xml:space="preserve">the violation </w:t>
            </w:r>
            <w:r w:rsidRPr="0068181C">
              <w:rPr>
                <w:rFonts w:ascii="Arial" w:hAnsi="Arial" w:cs="Arial"/>
                <w:sz w:val="18"/>
                <w:szCs w:val="18"/>
                <w:lang w:val="en-US"/>
              </w:rPr>
              <w:t>has not been remedied</w:t>
            </w:r>
            <w:r w:rsidR="00810597" w:rsidRPr="0068181C">
              <w:rPr>
                <w:rFonts w:ascii="Arial" w:hAnsi="Arial" w:cs="Arial"/>
                <w:sz w:val="18"/>
                <w:szCs w:val="18"/>
                <w:lang w:val="en-US"/>
              </w:rPr>
              <w:t>.</w:t>
            </w:r>
          </w:p>
          <w:p w14:paraId="0D69C5A9" w14:textId="77777777" w:rsidR="00810597" w:rsidRPr="0068181C" w:rsidRDefault="00810597" w:rsidP="00810597">
            <w:pPr>
              <w:spacing w:after="160" w:line="259" w:lineRule="auto"/>
              <w:rPr>
                <w:rFonts w:ascii="Arial" w:hAnsi="Arial" w:cs="Arial"/>
                <w:sz w:val="18"/>
                <w:szCs w:val="18"/>
                <w:lang w:val="en-US"/>
              </w:rPr>
            </w:pPr>
          </w:p>
          <w:p w14:paraId="2DD0A176" w14:textId="77777777" w:rsidR="00810597" w:rsidRPr="0068181C" w:rsidRDefault="00810597" w:rsidP="00810597">
            <w:pPr>
              <w:spacing w:after="160" w:line="259" w:lineRule="auto"/>
              <w:rPr>
                <w:rFonts w:ascii="Arial" w:hAnsi="Arial" w:cs="Arial"/>
                <w:sz w:val="18"/>
                <w:szCs w:val="18"/>
                <w:lang w:val="en-US"/>
              </w:rPr>
            </w:pPr>
          </w:p>
        </w:tc>
        <w:tc>
          <w:tcPr>
            <w:tcW w:w="3402" w:type="dxa"/>
            <w:shd w:val="clear" w:color="auto" w:fill="auto"/>
          </w:tcPr>
          <w:p w14:paraId="37CF0721" w14:textId="2B46DD07" w:rsidR="00810597" w:rsidRPr="0068181C" w:rsidRDefault="00893DC5" w:rsidP="00BC73B3">
            <w:pPr>
              <w:rPr>
                <w:rFonts w:ascii="Arial" w:hAnsi="Arial" w:cs="Arial"/>
                <w:sz w:val="18"/>
                <w:szCs w:val="18"/>
                <w:lang w:val="en-US"/>
              </w:rPr>
            </w:pPr>
            <w:r w:rsidRPr="0068181C">
              <w:rPr>
                <w:rFonts w:ascii="Arial" w:hAnsi="Arial" w:cs="Arial"/>
                <w:sz w:val="18"/>
                <w:szCs w:val="18"/>
                <w:lang w:val="en-US"/>
              </w:rPr>
              <w:t xml:space="preserve">The ECSR found a violation of </w:t>
            </w:r>
            <w:r w:rsidR="004823D7" w:rsidRPr="0068181C">
              <w:rPr>
                <w:rFonts w:ascii="Arial" w:hAnsi="Arial" w:cs="Arial"/>
                <w:b/>
                <w:bCs/>
                <w:sz w:val="18"/>
                <w:szCs w:val="18"/>
                <w:lang w:val="en-US"/>
              </w:rPr>
              <w:t>A</w:t>
            </w:r>
            <w:r w:rsidRPr="0068181C">
              <w:rPr>
                <w:rFonts w:ascii="Arial" w:hAnsi="Arial" w:cs="Arial"/>
                <w:b/>
                <w:bCs/>
                <w:sz w:val="18"/>
                <w:szCs w:val="18"/>
                <w:lang w:val="en-US"/>
              </w:rPr>
              <w:t>rticle</w:t>
            </w:r>
            <w:r w:rsidR="00810597" w:rsidRPr="0068181C">
              <w:rPr>
                <w:rFonts w:ascii="Arial" w:hAnsi="Arial" w:cs="Arial"/>
                <w:b/>
                <w:bCs/>
                <w:sz w:val="18"/>
                <w:szCs w:val="18"/>
                <w:lang w:val="en-US"/>
              </w:rPr>
              <w:t xml:space="preserve"> 23</w:t>
            </w:r>
            <w:r w:rsidR="00810597" w:rsidRPr="0068181C">
              <w:rPr>
                <w:rFonts w:ascii="Arial" w:hAnsi="Arial" w:cs="Arial"/>
                <w:sz w:val="18"/>
                <w:szCs w:val="18"/>
                <w:lang w:val="en-US"/>
              </w:rPr>
              <w:t xml:space="preserve"> </w:t>
            </w:r>
            <w:r w:rsidRPr="0068181C">
              <w:rPr>
                <w:rFonts w:ascii="Arial" w:hAnsi="Arial" w:cs="Arial"/>
                <w:sz w:val="18"/>
                <w:szCs w:val="18"/>
                <w:lang w:val="en-US"/>
              </w:rPr>
              <w:t>because the legislation allowed practices leading to a part of the elderly population being denied access to informal care allowances or other forms of support in municipalities</w:t>
            </w:r>
            <w:r w:rsidR="00810597" w:rsidRPr="0068181C">
              <w:rPr>
                <w:rFonts w:ascii="Arial" w:hAnsi="Arial" w:cs="Arial"/>
                <w:sz w:val="18"/>
                <w:szCs w:val="18"/>
                <w:lang w:val="en-US"/>
              </w:rPr>
              <w:t>.</w:t>
            </w:r>
            <w:r w:rsidRPr="0068181C">
              <w:rPr>
                <w:rFonts w:ascii="Arial" w:hAnsi="Arial" w:cs="Arial"/>
                <w:sz w:val="18"/>
                <w:szCs w:val="18"/>
                <w:lang w:val="en-US"/>
              </w:rPr>
              <w:t xml:space="preserve"> Although reforms have been taken in relation to </w:t>
            </w:r>
            <w:r w:rsidR="008A5BE3" w:rsidRPr="0068181C">
              <w:rPr>
                <w:rFonts w:ascii="Arial" w:hAnsi="Arial" w:cs="Arial"/>
                <w:sz w:val="18"/>
                <w:szCs w:val="18"/>
                <w:lang w:val="en-US"/>
              </w:rPr>
              <w:t>statutory leave and care allowances and other forms of support, the situation has not been entirely remedied.</w:t>
            </w:r>
            <w:r w:rsidR="00810597" w:rsidRPr="0068181C">
              <w:rPr>
                <w:rFonts w:ascii="Arial" w:hAnsi="Arial" w:cs="Arial"/>
                <w:sz w:val="18"/>
                <w:szCs w:val="18"/>
                <w:lang w:val="en-US"/>
              </w:rPr>
              <w:t xml:space="preserve"> </w:t>
            </w:r>
            <w:r w:rsidR="008A5BE3" w:rsidRPr="0068181C">
              <w:rPr>
                <w:rFonts w:ascii="Arial" w:hAnsi="Arial" w:cs="Arial"/>
                <w:sz w:val="18"/>
                <w:szCs w:val="18"/>
                <w:lang w:val="en-US"/>
              </w:rPr>
              <w:t>The discretion</w:t>
            </w:r>
            <w:r w:rsidR="00BC73B3" w:rsidRPr="0068181C">
              <w:rPr>
                <w:rFonts w:ascii="Arial" w:hAnsi="Arial" w:cs="Arial"/>
                <w:sz w:val="18"/>
                <w:szCs w:val="18"/>
                <w:lang w:val="en-US"/>
              </w:rPr>
              <w:t>ary power</w:t>
            </w:r>
            <w:r w:rsidR="008A5BE3" w:rsidRPr="0068181C">
              <w:rPr>
                <w:rFonts w:ascii="Arial" w:hAnsi="Arial" w:cs="Arial"/>
                <w:sz w:val="18"/>
                <w:szCs w:val="18"/>
                <w:lang w:val="en-US"/>
              </w:rPr>
              <w:t xml:space="preserve"> of municipalities and the lack </w:t>
            </w:r>
            <w:r w:rsidR="00BC73B3" w:rsidRPr="0068181C">
              <w:rPr>
                <w:rFonts w:ascii="Arial" w:hAnsi="Arial" w:cs="Arial"/>
                <w:sz w:val="18"/>
                <w:szCs w:val="18"/>
                <w:lang w:val="en-US"/>
              </w:rPr>
              <w:t xml:space="preserve">of a general obligation to provide </w:t>
            </w:r>
            <w:r w:rsidR="008A5BE3" w:rsidRPr="0068181C">
              <w:rPr>
                <w:rFonts w:ascii="Arial" w:hAnsi="Arial" w:cs="Arial"/>
                <w:sz w:val="18"/>
                <w:szCs w:val="18"/>
                <w:lang w:val="en-US"/>
              </w:rPr>
              <w:t xml:space="preserve">allowances </w:t>
            </w:r>
            <w:r w:rsidR="00BC73B3" w:rsidRPr="0068181C">
              <w:rPr>
                <w:rFonts w:ascii="Arial" w:hAnsi="Arial" w:cs="Arial"/>
                <w:sz w:val="18"/>
                <w:szCs w:val="18"/>
                <w:lang w:val="en-US"/>
              </w:rPr>
              <w:t>leads to</w:t>
            </w:r>
            <w:r w:rsidR="008A5BE3" w:rsidRPr="0068181C">
              <w:rPr>
                <w:rFonts w:ascii="Arial" w:hAnsi="Arial" w:cs="Arial"/>
                <w:sz w:val="18"/>
                <w:szCs w:val="18"/>
                <w:lang w:val="en-US"/>
              </w:rPr>
              <w:t xml:space="preserve"> problematic situations. </w:t>
            </w:r>
          </w:p>
        </w:tc>
        <w:tc>
          <w:tcPr>
            <w:tcW w:w="3509" w:type="dxa"/>
            <w:shd w:val="clear" w:color="auto" w:fill="auto"/>
          </w:tcPr>
          <w:p w14:paraId="78DB84E8" w14:textId="370C8D9A" w:rsidR="00810597" w:rsidRPr="00DB3602" w:rsidRDefault="00103C1E" w:rsidP="00810597">
            <w:pPr>
              <w:spacing w:after="160" w:line="259" w:lineRule="auto"/>
              <w:rPr>
                <w:rFonts w:ascii="Arial" w:hAnsi="Arial" w:cs="Arial"/>
                <w:sz w:val="18"/>
                <w:szCs w:val="18"/>
                <w:lang w:val="en-GB"/>
              </w:rPr>
            </w:pPr>
            <w:r w:rsidRPr="00DB3602">
              <w:rPr>
                <w:rFonts w:ascii="Arial" w:hAnsi="Arial" w:cs="Arial"/>
                <w:sz w:val="18"/>
                <w:szCs w:val="18"/>
                <w:lang w:val="en-GB"/>
              </w:rPr>
              <w:t>The Committee invites the Government to submit information on the different regional criteria for granting the allowance and the amount of care allowance available, as well as to submit information on the proportion of recipients of support for informal care. The Committee further invites the Government to submit information on the financing and content of informal care development measures in 2021-2023, which, according to the Government’s submission, should have been decided in 2020.</w:t>
            </w:r>
          </w:p>
          <w:p w14:paraId="1886B3FE" w14:textId="77777777" w:rsidR="00810597" w:rsidRPr="00DB3602" w:rsidRDefault="00810597" w:rsidP="00810597">
            <w:pPr>
              <w:spacing w:after="160" w:line="259" w:lineRule="auto"/>
              <w:rPr>
                <w:rFonts w:ascii="Arial" w:hAnsi="Arial" w:cs="Arial"/>
                <w:sz w:val="18"/>
                <w:szCs w:val="18"/>
                <w:lang w:val="en-GB"/>
              </w:rPr>
            </w:pPr>
          </w:p>
        </w:tc>
      </w:tr>
      <w:tr w:rsidR="00810597" w:rsidRPr="00414B7C" w14:paraId="27B32DEB" w14:textId="77777777" w:rsidTr="00004F15">
        <w:tc>
          <w:tcPr>
            <w:tcW w:w="2728" w:type="dxa"/>
          </w:tcPr>
          <w:p w14:paraId="45D500AA" w14:textId="7AA2480A" w:rsidR="00810597" w:rsidRPr="0068181C" w:rsidRDefault="00810597" w:rsidP="00810597">
            <w:pPr>
              <w:spacing w:after="160" w:line="259" w:lineRule="auto"/>
              <w:rPr>
                <w:rFonts w:ascii="Arial" w:hAnsi="Arial" w:cs="Arial"/>
                <w:sz w:val="18"/>
                <w:szCs w:val="18"/>
                <w:lang w:val="en-US"/>
              </w:rPr>
            </w:pPr>
            <w:r w:rsidRPr="0068181C">
              <w:rPr>
                <w:rFonts w:ascii="Arial" w:hAnsi="Arial" w:cs="Arial"/>
                <w:b/>
                <w:bCs/>
                <w:sz w:val="18"/>
                <w:szCs w:val="18"/>
                <w:lang w:val="en-US"/>
              </w:rPr>
              <w:t>Association of Care Giving Relatives and Friends v. Finland</w:t>
            </w:r>
            <w:r w:rsidRPr="0068181C">
              <w:rPr>
                <w:rFonts w:ascii="Arial" w:hAnsi="Arial" w:cs="Arial"/>
                <w:sz w:val="18"/>
                <w:szCs w:val="18"/>
                <w:lang w:val="en-US"/>
              </w:rPr>
              <w:t xml:space="preserve"> (</w:t>
            </w:r>
            <w:r w:rsidR="00414B7C">
              <w:fldChar w:fldCharType="begin"/>
            </w:r>
            <w:r w:rsidR="00414B7C" w:rsidRPr="00414B7C">
              <w:rPr>
                <w:lang w:val="en-GB"/>
              </w:rPr>
              <w:instrText xml:space="preserve"> HYPERLINK "https://www.coe.int/en/web/european-social-charter/processed-complaints/-/asset_publisher/5GEFkJmH2bYG/content/no-71-2011the-central-association-of-carers-in-finland-v-finland?inheritRedirect=false&amp;redirect=https%3A%2F%2Fwww.coe.int%2Fen%2Fweb%</w:instrText>
            </w:r>
            <w:r w:rsidR="00414B7C" w:rsidRPr="00414B7C">
              <w:rPr>
                <w:lang w:val="en-GB"/>
              </w:rPr>
              <w:instrText>2Feuropean-social-charter%2Fprocessed-complaints%3Fp_p_id%3D101_INSTANCE_5GEFkJmH2bYG%26p_p_lifecycle%3D0%26p_p_state%3Dnormal%26p_p_mode%3Dview%26p_p_col_id%3Dcolumn-4%26p_p_col_count%3D1%26p_r_p_564233524_resetCur%3Dtrue%26p_r_p_564233524_categoryId%3D28</w:instrText>
            </w:r>
            <w:r w:rsidR="00414B7C" w:rsidRPr="00414B7C">
              <w:rPr>
                <w:lang w:val="en-GB"/>
              </w:rPr>
              <w:instrText xml:space="preserve">547786" </w:instrText>
            </w:r>
            <w:r w:rsidR="00414B7C">
              <w:fldChar w:fldCharType="separate"/>
            </w:r>
            <w:r w:rsidR="000F2C7A" w:rsidRPr="0068181C">
              <w:rPr>
                <w:rFonts w:ascii="Arial" w:hAnsi="Arial" w:cs="Arial"/>
                <w:sz w:val="18"/>
                <w:szCs w:val="18"/>
                <w:lang w:val="en-US"/>
              </w:rPr>
              <w:t xml:space="preserve">complaint </w:t>
            </w:r>
            <w:r w:rsidRPr="0068181C">
              <w:rPr>
                <w:rStyle w:val="Hyperlinkki"/>
                <w:rFonts w:ascii="Arial" w:hAnsi="Arial" w:cs="Arial"/>
                <w:sz w:val="18"/>
                <w:szCs w:val="18"/>
                <w:lang w:val="en-US"/>
              </w:rPr>
              <w:t>no. 71/2011</w:t>
            </w:r>
            <w:r w:rsidR="00414B7C">
              <w:rPr>
                <w:rStyle w:val="Hyperlinkki"/>
                <w:rFonts w:ascii="Arial" w:hAnsi="Arial" w:cs="Arial"/>
                <w:sz w:val="18"/>
                <w:szCs w:val="18"/>
                <w:lang w:val="en-US"/>
              </w:rPr>
              <w:fldChar w:fldCharType="end"/>
            </w:r>
            <w:r w:rsidRPr="0068181C">
              <w:rPr>
                <w:rFonts w:ascii="Arial" w:hAnsi="Arial" w:cs="Arial"/>
                <w:sz w:val="18"/>
                <w:szCs w:val="18"/>
                <w:lang w:val="en-US"/>
              </w:rPr>
              <w:t xml:space="preserve">) </w:t>
            </w:r>
          </w:p>
          <w:p w14:paraId="178753C0" w14:textId="77777777" w:rsidR="00810597" w:rsidRPr="0068181C" w:rsidRDefault="00810597" w:rsidP="00810597">
            <w:pPr>
              <w:spacing w:after="160" w:line="259" w:lineRule="auto"/>
              <w:rPr>
                <w:rFonts w:ascii="Arial" w:hAnsi="Arial" w:cs="Arial"/>
                <w:sz w:val="18"/>
                <w:szCs w:val="18"/>
                <w:lang w:val="en-US"/>
              </w:rPr>
            </w:pPr>
          </w:p>
          <w:p w14:paraId="3DA4BD00" w14:textId="7C13112D" w:rsidR="00810597" w:rsidRPr="0068181C" w:rsidRDefault="00103C1E" w:rsidP="00810597">
            <w:pPr>
              <w:spacing w:after="160" w:line="259" w:lineRule="auto"/>
              <w:rPr>
                <w:rFonts w:ascii="Arial" w:hAnsi="Arial" w:cs="Arial"/>
                <w:sz w:val="18"/>
                <w:szCs w:val="18"/>
                <w:lang w:val="en-US"/>
              </w:rPr>
            </w:pPr>
            <w:r w:rsidRPr="00DB3602">
              <w:rPr>
                <w:rFonts w:ascii="Arial" w:hAnsi="Arial" w:cs="Arial"/>
                <w:sz w:val="18"/>
                <w:szCs w:val="18"/>
                <w:lang w:val="en-US"/>
              </w:rPr>
              <w:t>4</w:t>
            </w:r>
            <w:r w:rsidRPr="00DB3602">
              <w:rPr>
                <w:rFonts w:ascii="Arial" w:hAnsi="Arial" w:cs="Arial"/>
                <w:sz w:val="18"/>
                <w:szCs w:val="18"/>
                <w:vertAlign w:val="superscript"/>
                <w:lang w:val="en-US"/>
              </w:rPr>
              <w:t>th</w:t>
            </w:r>
            <w:r w:rsidRPr="00DB3602">
              <w:rPr>
                <w:rFonts w:ascii="Arial" w:hAnsi="Arial" w:cs="Arial"/>
                <w:sz w:val="18"/>
                <w:szCs w:val="18"/>
                <w:lang w:val="en-US"/>
              </w:rPr>
              <w:t xml:space="preserve"> </w:t>
            </w:r>
            <w:r w:rsidR="00B958A6" w:rsidRPr="00DB3602">
              <w:rPr>
                <w:rFonts w:ascii="Arial" w:hAnsi="Arial" w:cs="Arial"/>
                <w:sz w:val="18"/>
                <w:szCs w:val="18"/>
                <w:lang w:val="en-US"/>
              </w:rPr>
              <w:t>assessment of the ECSR of the follow-up from 202</w:t>
            </w:r>
            <w:r w:rsidRPr="00DB3602">
              <w:rPr>
                <w:rFonts w:ascii="Arial" w:hAnsi="Arial" w:cs="Arial"/>
                <w:sz w:val="18"/>
                <w:szCs w:val="18"/>
                <w:lang w:val="en-US"/>
              </w:rPr>
              <w:t>1</w:t>
            </w:r>
            <w:r w:rsidR="0056012F">
              <w:rPr>
                <w:rFonts w:ascii="Arial" w:hAnsi="Arial" w:cs="Arial"/>
                <w:sz w:val="18"/>
                <w:szCs w:val="18"/>
                <w:lang w:val="en-US"/>
              </w:rPr>
              <w:t>.</w:t>
            </w:r>
          </w:p>
        </w:tc>
        <w:tc>
          <w:tcPr>
            <w:tcW w:w="1945" w:type="dxa"/>
          </w:tcPr>
          <w:p w14:paraId="73F37114" w14:textId="3130E891" w:rsidR="00810597" w:rsidRPr="0068181C" w:rsidRDefault="00810597" w:rsidP="00810597">
            <w:pPr>
              <w:spacing w:after="160" w:line="259" w:lineRule="auto"/>
              <w:rPr>
                <w:rFonts w:ascii="Arial" w:hAnsi="Arial" w:cs="Arial"/>
                <w:sz w:val="18"/>
                <w:szCs w:val="18"/>
                <w:lang w:val="en-US"/>
              </w:rPr>
            </w:pPr>
            <w:r w:rsidRPr="0068181C">
              <w:rPr>
                <w:rFonts w:ascii="Arial" w:hAnsi="Arial" w:cs="Arial"/>
                <w:sz w:val="18"/>
                <w:szCs w:val="18"/>
                <w:lang w:val="en-US"/>
              </w:rPr>
              <w:t>4</w:t>
            </w:r>
            <w:r w:rsidR="000F2C7A" w:rsidRPr="0068181C">
              <w:rPr>
                <w:rFonts w:ascii="Arial" w:hAnsi="Arial" w:cs="Arial"/>
                <w:sz w:val="18"/>
                <w:szCs w:val="18"/>
                <w:lang w:val="en-US"/>
              </w:rPr>
              <w:t xml:space="preserve"> December </w:t>
            </w:r>
            <w:r w:rsidRPr="0068181C">
              <w:rPr>
                <w:rFonts w:ascii="Arial" w:hAnsi="Arial" w:cs="Arial"/>
                <w:sz w:val="18"/>
                <w:szCs w:val="18"/>
                <w:lang w:val="en-US"/>
              </w:rPr>
              <w:t>2012</w:t>
            </w:r>
          </w:p>
        </w:tc>
        <w:tc>
          <w:tcPr>
            <w:tcW w:w="2410" w:type="dxa"/>
          </w:tcPr>
          <w:p w14:paraId="5D46026D" w14:textId="0033FC36" w:rsidR="00810597" w:rsidRPr="0068181C" w:rsidRDefault="00D50459" w:rsidP="00810597">
            <w:pPr>
              <w:spacing w:after="160" w:line="259" w:lineRule="auto"/>
              <w:rPr>
                <w:rFonts w:ascii="Arial" w:hAnsi="Arial" w:cs="Arial"/>
                <w:sz w:val="18"/>
                <w:szCs w:val="18"/>
                <w:lang w:val="en-US"/>
              </w:rPr>
            </w:pPr>
            <w:r w:rsidRPr="0068181C">
              <w:rPr>
                <w:rFonts w:ascii="Arial" w:hAnsi="Arial" w:cs="Arial"/>
                <w:sz w:val="18"/>
                <w:szCs w:val="18"/>
                <w:lang w:val="en-US"/>
              </w:rPr>
              <w:t>The Committee of Social Rights has found a violation, and progress has been made, but the violation has not been remedied.</w:t>
            </w:r>
            <w:r w:rsidR="00810597" w:rsidRPr="0068181C">
              <w:rPr>
                <w:rFonts w:ascii="Arial" w:hAnsi="Arial" w:cs="Arial"/>
                <w:sz w:val="18"/>
                <w:szCs w:val="18"/>
                <w:lang w:val="en-US"/>
              </w:rPr>
              <w:t xml:space="preserve"> </w:t>
            </w:r>
          </w:p>
          <w:p w14:paraId="61D7FAAB" w14:textId="77777777" w:rsidR="00810597" w:rsidRPr="0068181C" w:rsidRDefault="00810597" w:rsidP="00810597">
            <w:pPr>
              <w:spacing w:after="160" w:line="259" w:lineRule="auto"/>
              <w:rPr>
                <w:rFonts w:ascii="Arial" w:hAnsi="Arial" w:cs="Arial"/>
                <w:sz w:val="18"/>
                <w:szCs w:val="18"/>
                <w:lang w:val="en-US"/>
              </w:rPr>
            </w:pPr>
          </w:p>
        </w:tc>
        <w:tc>
          <w:tcPr>
            <w:tcW w:w="3402" w:type="dxa"/>
          </w:tcPr>
          <w:p w14:paraId="47864A18" w14:textId="589A2BA2" w:rsidR="008A491F" w:rsidRPr="0068181C" w:rsidRDefault="008A491F" w:rsidP="008A491F">
            <w:pPr>
              <w:rPr>
                <w:rFonts w:ascii="Arial" w:hAnsi="Arial" w:cs="Arial"/>
                <w:sz w:val="18"/>
                <w:szCs w:val="18"/>
                <w:lang w:val="en-US"/>
              </w:rPr>
            </w:pPr>
            <w:r w:rsidRPr="0068181C">
              <w:rPr>
                <w:rFonts w:ascii="Arial" w:hAnsi="Arial" w:cs="Arial"/>
                <w:sz w:val="18"/>
                <w:szCs w:val="18"/>
                <w:lang w:val="en-US"/>
              </w:rPr>
              <w:t xml:space="preserve">The ECSR found a violation of </w:t>
            </w:r>
            <w:r w:rsidR="004823D7" w:rsidRPr="0068181C">
              <w:rPr>
                <w:rFonts w:ascii="Arial" w:hAnsi="Arial" w:cs="Arial"/>
                <w:b/>
                <w:bCs/>
                <w:sz w:val="18"/>
                <w:szCs w:val="18"/>
                <w:lang w:val="en-US"/>
              </w:rPr>
              <w:t>A</w:t>
            </w:r>
            <w:r w:rsidR="00810597" w:rsidRPr="0068181C">
              <w:rPr>
                <w:rFonts w:ascii="Arial" w:hAnsi="Arial" w:cs="Arial"/>
                <w:b/>
                <w:bCs/>
                <w:sz w:val="18"/>
                <w:szCs w:val="18"/>
                <w:lang w:val="en-US"/>
              </w:rPr>
              <w:t>rti</w:t>
            </w:r>
            <w:r w:rsidRPr="0068181C">
              <w:rPr>
                <w:rFonts w:ascii="Arial" w:hAnsi="Arial" w:cs="Arial"/>
                <w:b/>
                <w:bCs/>
                <w:sz w:val="18"/>
                <w:szCs w:val="18"/>
                <w:lang w:val="en-US"/>
              </w:rPr>
              <w:t>c</w:t>
            </w:r>
            <w:r w:rsidR="00810597" w:rsidRPr="0068181C">
              <w:rPr>
                <w:rFonts w:ascii="Arial" w:hAnsi="Arial" w:cs="Arial"/>
                <w:b/>
                <w:bCs/>
                <w:sz w:val="18"/>
                <w:szCs w:val="18"/>
                <w:lang w:val="en-US"/>
              </w:rPr>
              <w:t>l</w:t>
            </w:r>
            <w:r w:rsidRPr="0068181C">
              <w:rPr>
                <w:rFonts w:ascii="Arial" w:hAnsi="Arial" w:cs="Arial"/>
                <w:b/>
                <w:bCs/>
                <w:sz w:val="18"/>
                <w:szCs w:val="18"/>
                <w:lang w:val="en-US"/>
              </w:rPr>
              <w:t>e</w:t>
            </w:r>
            <w:r w:rsidR="00810597" w:rsidRPr="0068181C">
              <w:rPr>
                <w:rFonts w:ascii="Arial" w:hAnsi="Arial" w:cs="Arial"/>
                <w:b/>
                <w:bCs/>
                <w:sz w:val="18"/>
                <w:szCs w:val="18"/>
                <w:lang w:val="en-US"/>
              </w:rPr>
              <w:t xml:space="preserve"> 23</w:t>
            </w:r>
            <w:r w:rsidR="00810597" w:rsidRPr="0068181C">
              <w:rPr>
                <w:rFonts w:ascii="Arial" w:hAnsi="Arial" w:cs="Arial"/>
                <w:sz w:val="18"/>
                <w:szCs w:val="18"/>
                <w:lang w:val="en-US"/>
              </w:rPr>
              <w:t xml:space="preserve"> </w:t>
            </w:r>
            <w:r w:rsidRPr="0068181C">
              <w:rPr>
                <w:rFonts w:ascii="Arial" w:hAnsi="Arial" w:cs="Arial"/>
                <w:sz w:val="18"/>
                <w:szCs w:val="18"/>
                <w:lang w:val="en-US"/>
              </w:rPr>
              <w:t>due to insufficient regulation of fees for service housing and</w:t>
            </w:r>
          </w:p>
          <w:p w14:paraId="05D56785" w14:textId="77777777" w:rsidR="008A491F" w:rsidRPr="0068181C" w:rsidRDefault="008A491F" w:rsidP="008A491F">
            <w:pPr>
              <w:rPr>
                <w:rFonts w:ascii="Arial" w:hAnsi="Arial" w:cs="Arial"/>
                <w:sz w:val="18"/>
                <w:szCs w:val="18"/>
                <w:lang w:val="en-US"/>
              </w:rPr>
            </w:pPr>
            <w:r w:rsidRPr="0068181C">
              <w:rPr>
                <w:rFonts w:ascii="Arial" w:hAnsi="Arial" w:cs="Arial"/>
                <w:sz w:val="18"/>
                <w:szCs w:val="18"/>
                <w:lang w:val="en-US"/>
              </w:rPr>
              <w:t>service housing with 24-hour assistance combined with the fact that the demand for</w:t>
            </w:r>
          </w:p>
          <w:p w14:paraId="167945D6" w14:textId="63345273" w:rsidR="00361DC2" w:rsidRPr="0068181C" w:rsidRDefault="008A491F" w:rsidP="00361DC2">
            <w:pPr>
              <w:rPr>
                <w:rFonts w:ascii="Arial" w:hAnsi="Arial" w:cs="Arial"/>
                <w:sz w:val="18"/>
                <w:szCs w:val="18"/>
                <w:lang w:val="en-US"/>
              </w:rPr>
            </w:pPr>
            <w:r w:rsidRPr="0068181C">
              <w:rPr>
                <w:rFonts w:ascii="Arial" w:hAnsi="Arial" w:cs="Arial"/>
                <w:sz w:val="18"/>
                <w:szCs w:val="18"/>
                <w:lang w:val="en-US"/>
              </w:rPr>
              <w:t>these services exceeded supply</w:t>
            </w:r>
            <w:r w:rsidR="00361DC2" w:rsidRPr="0068181C">
              <w:rPr>
                <w:rFonts w:ascii="Arial" w:hAnsi="Arial" w:cs="Arial"/>
                <w:sz w:val="18"/>
                <w:szCs w:val="18"/>
                <w:lang w:val="en-US"/>
              </w:rPr>
              <w:t>. Complex and diverse fee policies created uncertainties to elderly persons in need of care and there were no effective safeguards to assure that effective access to</w:t>
            </w:r>
          </w:p>
          <w:p w14:paraId="35B8619E" w14:textId="13C9BC17" w:rsidR="00810597" w:rsidRPr="0068181C" w:rsidRDefault="00361DC2" w:rsidP="00361DC2">
            <w:pPr>
              <w:rPr>
                <w:rFonts w:ascii="Arial" w:hAnsi="Arial" w:cs="Arial"/>
                <w:sz w:val="18"/>
                <w:szCs w:val="18"/>
                <w:lang w:val="en-US"/>
              </w:rPr>
            </w:pPr>
            <w:r w:rsidRPr="0068181C">
              <w:rPr>
                <w:rFonts w:ascii="Arial" w:hAnsi="Arial" w:cs="Arial"/>
                <w:sz w:val="18"/>
                <w:szCs w:val="18"/>
                <w:lang w:val="en-US"/>
              </w:rPr>
              <w:lastRenderedPageBreak/>
              <w:t xml:space="preserve">services </w:t>
            </w:r>
            <w:proofErr w:type="gramStart"/>
            <w:r w:rsidRPr="0068181C">
              <w:rPr>
                <w:rFonts w:ascii="Arial" w:hAnsi="Arial" w:cs="Arial"/>
                <w:sz w:val="18"/>
                <w:szCs w:val="18"/>
                <w:lang w:val="en-US"/>
              </w:rPr>
              <w:t>is</w:t>
            </w:r>
            <w:proofErr w:type="gramEnd"/>
            <w:r w:rsidRPr="0068181C">
              <w:rPr>
                <w:rFonts w:ascii="Arial" w:hAnsi="Arial" w:cs="Arial"/>
                <w:sz w:val="18"/>
                <w:szCs w:val="18"/>
                <w:lang w:val="en-US"/>
              </w:rPr>
              <w:t xml:space="preserve"> guaranteed to every elderly person in need of services nor</w:t>
            </w:r>
            <w:r w:rsidR="004823D7" w:rsidRPr="0068181C">
              <w:rPr>
                <w:rFonts w:ascii="Arial" w:hAnsi="Arial" w:cs="Arial"/>
                <w:sz w:val="18"/>
                <w:szCs w:val="18"/>
                <w:lang w:val="en-US"/>
              </w:rPr>
              <w:t xml:space="preserve"> was there</w:t>
            </w:r>
            <w:r w:rsidRPr="0068181C">
              <w:rPr>
                <w:rFonts w:ascii="Arial" w:hAnsi="Arial" w:cs="Arial"/>
                <w:sz w:val="18"/>
                <w:szCs w:val="18"/>
                <w:lang w:val="en-US"/>
              </w:rPr>
              <w:t xml:space="preserve"> sufficient provision of information about services and facilities available.</w:t>
            </w:r>
          </w:p>
        </w:tc>
        <w:tc>
          <w:tcPr>
            <w:tcW w:w="3509" w:type="dxa"/>
          </w:tcPr>
          <w:p w14:paraId="745BB850" w14:textId="77777777" w:rsidR="00103C1E" w:rsidRPr="00DB3602" w:rsidRDefault="00361DC2" w:rsidP="00810597">
            <w:pPr>
              <w:spacing w:after="160" w:line="259" w:lineRule="auto"/>
              <w:rPr>
                <w:rFonts w:ascii="Arial" w:hAnsi="Arial" w:cs="Arial"/>
                <w:sz w:val="18"/>
                <w:szCs w:val="18"/>
                <w:lang w:val="en-US"/>
              </w:rPr>
            </w:pPr>
            <w:r w:rsidRPr="0068181C">
              <w:rPr>
                <w:rFonts w:ascii="Arial" w:hAnsi="Arial" w:cs="Arial"/>
                <w:sz w:val="18"/>
                <w:szCs w:val="18"/>
                <w:lang w:val="en-US"/>
              </w:rPr>
              <w:lastRenderedPageBreak/>
              <w:t>The situation has not been fully remedied. Although there are ongoing reforms</w:t>
            </w:r>
            <w:r w:rsidR="00810597" w:rsidRPr="0068181C">
              <w:rPr>
                <w:rFonts w:ascii="Arial" w:hAnsi="Arial" w:cs="Arial"/>
                <w:sz w:val="18"/>
                <w:szCs w:val="18"/>
                <w:lang w:val="en-US"/>
              </w:rPr>
              <w:t xml:space="preserve"> </w:t>
            </w:r>
            <w:r w:rsidRPr="0068181C">
              <w:rPr>
                <w:rFonts w:ascii="Arial" w:hAnsi="Arial" w:cs="Arial"/>
                <w:sz w:val="18"/>
                <w:szCs w:val="18"/>
                <w:lang w:val="en-US"/>
              </w:rPr>
              <w:t>regarding the client charges system, there are no safeguards that</w:t>
            </w:r>
            <w:r w:rsidR="005B7DCF" w:rsidRPr="0068181C">
              <w:rPr>
                <w:rFonts w:ascii="Arial" w:hAnsi="Arial" w:cs="Arial"/>
                <w:sz w:val="18"/>
                <w:szCs w:val="18"/>
                <w:lang w:val="en-US"/>
              </w:rPr>
              <w:t xml:space="preserve"> after paying the fees for service housing, the clients would have enough money for </w:t>
            </w:r>
            <w:r w:rsidR="005B7DCF" w:rsidRPr="00DB3602">
              <w:rPr>
                <w:rFonts w:ascii="Arial" w:hAnsi="Arial" w:cs="Arial"/>
                <w:sz w:val="18"/>
                <w:szCs w:val="18"/>
                <w:lang w:val="en-US"/>
              </w:rPr>
              <w:t xml:space="preserve">other expenses. </w:t>
            </w:r>
          </w:p>
          <w:p w14:paraId="1D12F3F5" w14:textId="7B25CE40" w:rsidR="00103C1E" w:rsidRPr="00103C1E" w:rsidRDefault="00103C1E" w:rsidP="00810597">
            <w:pPr>
              <w:spacing w:after="160" w:line="259" w:lineRule="auto"/>
              <w:rPr>
                <w:rFonts w:ascii="Arial" w:hAnsi="Arial" w:cs="Arial"/>
                <w:sz w:val="18"/>
                <w:szCs w:val="18"/>
                <w:lang w:val="en-GB"/>
              </w:rPr>
            </w:pPr>
            <w:r w:rsidRPr="00DB3602">
              <w:rPr>
                <w:rFonts w:ascii="Arial" w:hAnsi="Arial" w:cs="Arial"/>
                <w:sz w:val="18"/>
                <w:szCs w:val="18"/>
                <w:lang w:val="en-GB"/>
              </w:rPr>
              <w:t xml:space="preserve">The Committee notes that the non-governmental organisations consider that the fee system for service housing is complex and expensive from the </w:t>
            </w:r>
            <w:r w:rsidRPr="00DB3602">
              <w:rPr>
                <w:rFonts w:ascii="Arial" w:hAnsi="Arial" w:cs="Arial"/>
                <w:sz w:val="18"/>
                <w:szCs w:val="18"/>
                <w:lang w:val="en-GB"/>
              </w:rPr>
              <w:lastRenderedPageBreak/>
              <w:t>viewpoints of both administration and clients. In their view, a clear-cut fee system would improve clients’ chances to obtain the kinds of services necessitated by their health and condition. The Committee asks the Government to comment on the view expressed by the non-governmental organisations.</w:t>
            </w:r>
          </w:p>
          <w:p w14:paraId="7D85A8A9" w14:textId="46A402F9" w:rsidR="00810597" w:rsidRPr="0068181C" w:rsidRDefault="005B7DCF" w:rsidP="00810597">
            <w:pPr>
              <w:spacing w:after="160" w:line="259" w:lineRule="auto"/>
              <w:rPr>
                <w:rFonts w:ascii="Arial" w:hAnsi="Arial" w:cs="Arial"/>
                <w:sz w:val="18"/>
                <w:szCs w:val="18"/>
                <w:lang w:val="en-US"/>
              </w:rPr>
            </w:pPr>
            <w:r w:rsidRPr="0068181C">
              <w:rPr>
                <w:rFonts w:ascii="Arial" w:hAnsi="Arial" w:cs="Arial"/>
                <w:sz w:val="18"/>
                <w:szCs w:val="18"/>
                <w:lang w:val="en-US"/>
              </w:rPr>
              <w:t>The government needs to submit updated information on the reforms in the next report</w:t>
            </w:r>
            <w:r w:rsidR="00810597" w:rsidRPr="0068181C">
              <w:rPr>
                <w:rFonts w:ascii="Arial" w:hAnsi="Arial" w:cs="Arial"/>
                <w:sz w:val="18"/>
                <w:szCs w:val="18"/>
                <w:lang w:val="en-US"/>
              </w:rPr>
              <w:t>.</w:t>
            </w:r>
          </w:p>
          <w:p w14:paraId="0BA4596D" w14:textId="77777777" w:rsidR="00810597" w:rsidRPr="0068181C" w:rsidRDefault="00810597" w:rsidP="00810597">
            <w:pPr>
              <w:spacing w:after="160" w:line="259" w:lineRule="auto"/>
              <w:rPr>
                <w:rFonts w:ascii="Arial" w:hAnsi="Arial" w:cs="Arial"/>
                <w:sz w:val="18"/>
                <w:szCs w:val="18"/>
                <w:lang w:val="en-US"/>
              </w:rPr>
            </w:pPr>
          </w:p>
          <w:p w14:paraId="3B077228" w14:textId="77777777" w:rsidR="00810597" w:rsidRPr="0068181C" w:rsidRDefault="00810597" w:rsidP="00810597">
            <w:pPr>
              <w:spacing w:after="160" w:line="259" w:lineRule="auto"/>
              <w:rPr>
                <w:rFonts w:ascii="Arial" w:hAnsi="Arial" w:cs="Arial"/>
                <w:sz w:val="18"/>
                <w:szCs w:val="18"/>
                <w:lang w:val="en-US"/>
              </w:rPr>
            </w:pPr>
          </w:p>
        </w:tc>
      </w:tr>
      <w:tr w:rsidR="00810597" w:rsidRPr="00414B7C" w14:paraId="0E4A677B" w14:textId="77777777" w:rsidTr="00004F15">
        <w:tc>
          <w:tcPr>
            <w:tcW w:w="2728" w:type="dxa"/>
          </w:tcPr>
          <w:p w14:paraId="1FF54B7E" w14:textId="433882EA" w:rsidR="00810597" w:rsidRPr="0068181C" w:rsidRDefault="00810597" w:rsidP="00810597">
            <w:pPr>
              <w:spacing w:after="160" w:line="259" w:lineRule="auto"/>
              <w:rPr>
                <w:rFonts w:ascii="Arial" w:hAnsi="Arial" w:cs="Arial"/>
                <w:sz w:val="18"/>
                <w:szCs w:val="18"/>
                <w:lang w:val="en-US"/>
              </w:rPr>
            </w:pPr>
            <w:r w:rsidRPr="0068181C">
              <w:rPr>
                <w:rFonts w:ascii="Arial" w:hAnsi="Arial" w:cs="Arial"/>
                <w:b/>
                <w:bCs/>
                <w:sz w:val="18"/>
                <w:szCs w:val="18"/>
                <w:lang w:val="en-US"/>
              </w:rPr>
              <w:lastRenderedPageBreak/>
              <w:t>Finnish Society of Social Rights v. Finland</w:t>
            </w:r>
            <w:r w:rsidRPr="0068181C">
              <w:rPr>
                <w:rFonts w:ascii="Arial" w:hAnsi="Arial" w:cs="Arial"/>
                <w:sz w:val="18"/>
                <w:szCs w:val="18"/>
                <w:lang w:val="en-US"/>
              </w:rPr>
              <w:t xml:space="preserve"> (</w:t>
            </w:r>
            <w:r w:rsidR="00414B7C">
              <w:fldChar w:fldCharType="begin"/>
            </w:r>
            <w:r w:rsidR="00414B7C" w:rsidRPr="00414B7C">
              <w:rPr>
                <w:lang w:val="en-GB"/>
              </w:rPr>
              <w:instrText xml:space="preserve"> HYPERLINK "https://www.coe.int/en/web/european-social-charter/processed-complaints/-/asset_publisher/5GEFkJmH2bYG/content/no-88-2012-finnish-society-of-social-rights-v-finland?inheritRedirect=false&amp;redirect=https%3A%2F%2Fwww.coe.int%2Fen%2Fweb%2Feuropean-</w:instrText>
            </w:r>
            <w:r w:rsidR="00414B7C" w:rsidRPr="00414B7C">
              <w:rPr>
                <w:lang w:val="en-GB"/>
              </w:rPr>
              <w:instrText xml:space="preserve">social-charter%2Fprocessed-complaints%3Fp_p_id%3D101_INSTANCE_5GEFkJmH2bYG%26p_p_lifecycle%3D0%26p_p_state%3Dnormal%26p_p_mode%3Dview%26p_p_col_id%3Dcolumn-4%26p_p_col_count%3D1%26p_r_p_564233524_resetCur%3Dtrue%26p_r_p_564233524_categoryId%3D28547786" </w:instrText>
            </w:r>
            <w:r w:rsidR="00414B7C">
              <w:fldChar w:fldCharType="separate"/>
            </w:r>
            <w:r w:rsidR="000F2C7A" w:rsidRPr="0068181C">
              <w:rPr>
                <w:rFonts w:ascii="Arial" w:hAnsi="Arial" w:cs="Arial"/>
                <w:sz w:val="18"/>
                <w:szCs w:val="18"/>
                <w:lang w:val="en-US"/>
              </w:rPr>
              <w:t>complaint</w:t>
            </w:r>
            <w:r w:rsidRPr="0068181C">
              <w:rPr>
                <w:rStyle w:val="Hyperlinkki"/>
                <w:rFonts w:ascii="Arial" w:hAnsi="Arial" w:cs="Arial"/>
                <w:sz w:val="18"/>
                <w:szCs w:val="18"/>
                <w:lang w:val="en-US"/>
              </w:rPr>
              <w:t xml:space="preserve"> no. 88/2012</w:t>
            </w:r>
            <w:r w:rsidR="00414B7C">
              <w:rPr>
                <w:rStyle w:val="Hyperlinkki"/>
                <w:rFonts w:ascii="Arial" w:hAnsi="Arial" w:cs="Arial"/>
                <w:sz w:val="18"/>
                <w:szCs w:val="18"/>
                <w:lang w:val="en-US"/>
              </w:rPr>
              <w:fldChar w:fldCharType="end"/>
            </w:r>
            <w:r w:rsidRPr="0068181C">
              <w:rPr>
                <w:rFonts w:ascii="Arial" w:hAnsi="Arial" w:cs="Arial"/>
                <w:sz w:val="18"/>
                <w:szCs w:val="18"/>
                <w:lang w:val="en-US"/>
              </w:rPr>
              <w:t>)</w:t>
            </w:r>
          </w:p>
          <w:p w14:paraId="205DE051" w14:textId="77777777" w:rsidR="00810597" w:rsidRPr="0068181C" w:rsidRDefault="00810597" w:rsidP="00810597">
            <w:pPr>
              <w:spacing w:after="160" w:line="259" w:lineRule="auto"/>
              <w:rPr>
                <w:rFonts w:ascii="Arial" w:hAnsi="Arial" w:cs="Arial"/>
                <w:sz w:val="18"/>
                <w:szCs w:val="18"/>
                <w:lang w:val="en-US"/>
              </w:rPr>
            </w:pPr>
          </w:p>
          <w:p w14:paraId="4C73381A" w14:textId="4AF38A72" w:rsidR="00810597" w:rsidRPr="0068181C" w:rsidRDefault="00103C1E" w:rsidP="00810597">
            <w:pPr>
              <w:spacing w:after="160" w:line="259" w:lineRule="auto"/>
              <w:rPr>
                <w:rFonts w:ascii="Arial" w:hAnsi="Arial" w:cs="Arial"/>
                <w:sz w:val="18"/>
                <w:szCs w:val="18"/>
                <w:lang w:val="en-US"/>
              </w:rPr>
            </w:pPr>
            <w:r w:rsidRPr="00DB3602">
              <w:rPr>
                <w:rFonts w:ascii="Arial" w:hAnsi="Arial" w:cs="Arial"/>
                <w:sz w:val="18"/>
                <w:szCs w:val="18"/>
                <w:lang w:val="en-US"/>
              </w:rPr>
              <w:t>3</w:t>
            </w:r>
            <w:r w:rsidRPr="00DB3602">
              <w:rPr>
                <w:rFonts w:ascii="Arial" w:hAnsi="Arial" w:cs="Arial"/>
                <w:sz w:val="18"/>
                <w:szCs w:val="18"/>
                <w:vertAlign w:val="superscript"/>
                <w:lang w:val="en-US"/>
              </w:rPr>
              <w:t>rd</w:t>
            </w:r>
            <w:r w:rsidRPr="00DB3602">
              <w:rPr>
                <w:rFonts w:ascii="Arial" w:hAnsi="Arial" w:cs="Arial"/>
                <w:sz w:val="18"/>
                <w:szCs w:val="18"/>
                <w:lang w:val="en-US"/>
              </w:rPr>
              <w:t xml:space="preserve"> </w:t>
            </w:r>
            <w:r w:rsidR="0080320A" w:rsidRPr="00DB3602">
              <w:rPr>
                <w:rFonts w:ascii="Arial" w:hAnsi="Arial" w:cs="Arial"/>
                <w:sz w:val="18"/>
                <w:szCs w:val="18"/>
                <w:lang w:val="en-US"/>
              </w:rPr>
              <w:t xml:space="preserve">assessment of the </w:t>
            </w:r>
            <w:r w:rsidR="00B958A6" w:rsidRPr="00DB3602">
              <w:rPr>
                <w:rFonts w:ascii="Arial" w:hAnsi="Arial" w:cs="Arial"/>
                <w:sz w:val="18"/>
                <w:szCs w:val="18"/>
                <w:lang w:val="en-US"/>
              </w:rPr>
              <w:t>ECSR</w:t>
            </w:r>
            <w:r w:rsidR="0080320A" w:rsidRPr="00DB3602">
              <w:rPr>
                <w:rFonts w:ascii="Arial" w:hAnsi="Arial" w:cs="Arial"/>
                <w:sz w:val="18"/>
                <w:szCs w:val="18"/>
                <w:lang w:val="en-US"/>
              </w:rPr>
              <w:t xml:space="preserve"> o</w:t>
            </w:r>
            <w:r w:rsidR="00B958A6" w:rsidRPr="00DB3602">
              <w:rPr>
                <w:rFonts w:ascii="Arial" w:hAnsi="Arial" w:cs="Arial"/>
                <w:sz w:val="18"/>
                <w:szCs w:val="18"/>
                <w:lang w:val="en-US"/>
              </w:rPr>
              <w:t>f</w:t>
            </w:r>
            <w:r w:rsidR="0080320A" w:rsidRPr="00DB3602">
              <w:rPr>
                <w:rFonts w:ascii="Arial" w:hAnsi="Arial" w:cs="Arial"/>
                <w:sz w:val="18"/>
                <w:szCs w:val="18"/>
                <w:lang w:val="en-US"/>
              </w:rPr>
              <w:t xml:space="preserve"> the follow</w:t>
            </w:r>
            <w:r w:rsidR="00055F7E" w:rsidRPr="00DB3602">
              <w:rPr>
                <w:rFonts w:ascii="Arial" w:hAnsi="Arial" w:cs="Arial"/>
                <w:sz w:val="18"/>
                <w:szCs w:val="18"/>
                <w:lang w:val="en-US"/>
              </w:rPr>
              <w:t>-</w:t>
            </w:r>
            <w:r w:rsidR="0080320A" w:rsidRPr="00DB3602">
              <w:rPr>
                <w:rFonts w:ascii="Arial" w:hAnsi="Arial" w:cs="Arial"/>
                <w:sz w:val="18"/>
                <w:szCs w:val="18"/>
                <w:lang w:val="en-US"/>
              </w:rPr>
              <w:t xml:space="preserve">up from </w:t>
            </w:r>
            <w:r w:rsidR="00810597" w:rsidRPr="00DB3602">
              <w:rPr>
                <w:rFonts w:ascii="Arial" w:hAnsi="Arial" w:cs="Arial"/>
                <w:sz w:val="18"/>
                <w:szCs w:val="18"/>
                <w:lang w:val="en-US"/>
              </w:rPr>
              <w:t>202</w:t>
            </w:r>
            <w:r w:rsidRPr="00DB3602">
              <w:rPr>
                <w:rFonts w:ascii="Arial" w:hAnsi="Arial" w:cs="Arial"/>
                <w:sz w:val="18"/>
                <w:szCs w:val="18"/>
                <w:lang w:val="en-US"/>
              </w:rPr>
              <w:t>1</w:t>
            </w:r>
            <w:r w:rsidR="0056012F">
              <w:rPr>
                <w:rFonts w:ascii="Arial" w:hAnsi="Arial" w:cs="Arial"/>
                <w:sz w:val="18"/>
                <w:szCs w:val="18"/>
                <w:lang w:val="en-US"/>
              </w:rPr>
              <w:t>.</w:t>
            </w:r>
          </w:p>
        </w:tc>
        <w:tc>
          <w:tcPr>
            <w:tcW w:w="1945" w:type="dxa"/>
          </w:tcPr>
          <w:p w14:paraId="7B3C0B84" w14:textId="24628A77" w:rsidR="00810597" w:rsidRPr="0068181C" w:rsidRDefault="000F2C7A" w:rsidP="00810597">
            <w:pPr>
              <w:spacing w:after="160" w:line="259" w:lineRule="auto"/>
              <w:rPr>
                <w:rFonts w:ascii="Arial" w:hAnsi="Arial" w:cs="Arial"/>
                <w:sz w:val="18"/>
                <w:szCs w:val="18"/>
                <w:lang w:val="en-US"/>
              </w:rPr>
            </w:pPr>
            <w:r w:rsidRPr="0068181C">
              <w:rPr>
                <w:rFonts w:ascii="Arial" w:hAnsi="Arial" w:cs="Arial"/>
                <w:sz w:val="18"/>
                <w:szCs w:val="18"/>
                <w:lang w:val="en-US"/>
              </w:rPr>
              <w:t xml:space="preserve">9 September </w:t>
            </w:r>
            <w:r w:rsidR="00810597" w:rsidRPr="0068181C">
              <w:rPr>
                <w:rFonts w:ascii="Arial" w:hAnsi="Arial" w:cs="Arial"/>
                <w:sz w:val="18"/>
                <w:szCs w:val="18"/>
                <w:lang w:val="en-US"/>
              </w:rPr>
              <w:t>2014</w:t>
            </w:r>
          </w:p>
        </w:tc>
        <w:tc>
          <w:tcPr>
            <w:tcW w:w="2410" w:type="dxa"/>
          </w:tcPr>
          <w:p w14:paraId="4992D17F" w14:textId="2C5DC7A5" w:rsidR="00810597" w:rsidRPr="0068181C" w:rsidRDefault="00D50459" w:rsidP="00810597">
            <w:pPr>
              <w:spacing w:after="160" w:line="259" w:lineRule="auto"/>
              <w:rPr>
                <w:rFonts w:ascii="Arial" w:hAnsi="Arial" w:cs="Arial"/>
                <w:sz w:val="18"/>
                <w:szCs w:val="18"/>
                <w:lang w:val="en-US"/>
              </w:rPr>
            </w:pPr>
            <w:r w:rsidRPr="0068181C">
              <w:rPr>
                <w:rFonts w:ascii="Arial" w:hAnsi="Arial" w:cs="Arial"/>
                <w:sz w:val="18"/>
                <w:szCs w:val="18"/>
                <w:lang w:val="en-US"/>
              </w:rPr>
              <w:t>The Committee of Social Rights has found a violation, which has not yet been remedied</w:t>
            </w:r>
            <w:r w:rsidR="00810597" w:rsidRPr="0068181C">
              <w:rPr>
                <w:rFonts w:ascii="Arial" w:hAnsi="Arial" w:cs="Arial"/>
                <w:sz w:val="18"/>
                <w:szCs w:val="18"/>
                <w:lang w:val="en-US"/>
              </w:rPr>
              <w:t>.</w:t>
            </w:r>
          </w:p>
        </w:tc>
        <w:tc>
          <w:tcPr>
            <w:tcW w:w="3402" w:type="dxa"/>
          </w:tcPr>
          <w:p w14:paraId="207BC96F" w14:textId="2D88DABE" w:rsidR="00810597" w:rsidRPr="0068181C" w:rsidRDefault="005B7DCF" w:rsidP="00810597">
            <w:pPr>
              <w:spacing w:after="160" w:line="259" w:lineRule="auto"/>
              <w:rPr>
                <w:rFonts w:ascii="Arial" w:hAnsi="Arial" w:cs="Arial"/>
                <w:sz w:val="18"/>
                <w:szCs w:val="18"/>
                <w:lang w:val="en-US"/>
              </w:rPr>
            </w:pPr>
            <w:r w:rsidRPr="0068181C">
              <w:rPr>
                <w:rFonts w:ascii="Arial" w:hAnsi="Arial" w:cs="Arial"/>
                <w:sz w:val="18"/>
                <w:szCs w:val="18"/>
                <w:lang w:val="en-US"/>
              </w:rPr>
              <w:t xml:space="preserve">The ECSR found a violation of </w:t>
            </w:r>
            <w:r w:rsidR="004823D7" w:rsidRPr="0068181C">
              <w:rPr>
                <w:rFonts w:ascii="Arial" w:hAnsi="Arial" w:cs="Arial"/>
                <w:b/>
                <w:bCs/>
                <w:sz w:val="18"/>
                <w:szCs w:val="18"/>
                <w:lang w:val="en-US"/>
              </w:rPr>
              <w:t>A</w:t>
            </w:r>
            <w:r w:rsidRPr="0068181C">
              <w:rPr>
                <w:rFonts w:ascii="Arial" w:hAnsi="Arial" w:cs="Arial"/>
                <w:b/>
                <w:bCs/>
                <w:sz w:val="18"/>
                <w:szCs w:val="18"/>
                <w:lang w:val="en-US"/>
              </w:rPr>
              <w:t>rtic</w:t>
            </w:r>
            <w:r w:rsidR="00810597" w:rsidRPr="0068181C">
              <w:rPr>
                <w:rFonts w:ascii="Arial" w:hAnsi="Arial" w:cs="Arial"/>
                <w:b/>
                <w:bCs/>
                <w:sz w:val="18"/>
                <w:szCs w:val="18"/>
                <w:lang w:val="en-US"/>
              </w:rPr>
              <w:t>l</w:t>
            </w:r>
            <w:r w:rsidRPr="0068181C">
              <w:rPr>
                <w:rFonts w:ascii="Arial" w:hAnsi="Arial" w:cs="Arial"/>
                <w:b/>
                <w:bCs/>
                <w:sz w:val="18"/>
                <w:szCs w:val="18"/>
                <w:lang w:val="en-US"/>
              </w:rPr>
              <w:t>e</w:t>
            </w:r>
            <w:r w:rsidR="00810597" w:rsidRPr="0068181C">
              <w:rPr>
                <w:rFonts w:ascii="Arial" w:hAnsi="Arial" w:cs="Arial"/>
                <w:b/>
                <w:bCs/>
                <w:sz w:val="18"/>
                <w:szCs w:val="18"/>
                <w:lang w:val="en-US"/>
              </w:rPr>
              <w:t xml:space="preserve"> 12</w:t>
            </w:r>
            <w:r w:rsidR="00810597" w:rsidRPr="0068181C">
              <w:rPr>
                <w:rFonts w:ascii="Arial" w:hAnsi="Arial" w:cs="Arial"/>
                <w:sz w:val="18"/>
                <w:szCs w:val="18"/>
                <w:lang w:val="en-US"/>
              </w:rPr>
              <w:t xml:space="preserve">, </w:t>
            </w:r>
            <w:r w:rsidRPr="0068181C">
              <w:rPr>
                <w:rFonts w:ascii="Arial" w:hAnsi="Arial" w:cs="Arial"/>
                <w:sz w:val="18"/>
                <w:szCs w:val="18"/>
                <w:lang w:val="en-US"/>
              </w:rPr>
              <w:t xml:space="preserve">because the minimum level of </w:t>
            </w:r>
            <w:r w:rsidR="00EB3C17" w:rsidRPr="0068181C">
              <w:rPr>
                <w:rFonts w:ascii="Arial" w:hAnsi="Arial" w:cs="Arial"/>
                <w:sz w:val="18"/>
                <w:szCs w:val="18"/>
                <w:lang w:val="en-US"/>
              </w:rPr>
              <w:t>social security benefits was below the required level</w:t>
            </w:r>
            <w:r w:rsidR="00810597" w:rsidRPr="0068181C">
              <w:rPr>
                <w:rFonts w:ascii="Arial" w:hAnsi="Arial" w:cs="Arial"/>
                <w:sz w:val="18"/>
                <w:szCs w:val="18"/>
                <w:lang w:val="en-US"/>
              </w:rPr>
              <w:t xml:space="preserve">. </w:t>
            </w:r>
          </w:p>
          <w:p w14:paraId="47EB6810" w14:textId="763C6C48" w:rsidR="00810597" w:rsidRPr="0068181C" w:rsidRDefault="00EB3C17" w:rsidP="00810597">
            <w:pPr>
              <w:spacing w:after="160" w:line="259" w:lineRule="auto"/>
              <w:rPr>
                <w:rFonts w:ascii="Arial" w:hAnsi="Arial" w:cs="Arial"/>
                <w:sz w:val="18"/>
                <w:szCs w:val="18"/>
                <w:lang w:val="en-US"/>
              </w:rPr>
            </w:pPr>
            <w:r w:rsidRPr="0068181C">
              <w:rPr>
                <w:rFonts w:ascii="Arial" w:hAnsi="Arial" w:cs="Arial"/>
                <w:sz w:val="18"/>
                <w:szCs w:val="18"/>
                <w:lang w:val="en-US"/>
              </w:rPr>
              <w:t>The ECSR found a violation of</w:t>
            </w:r>
            <w:r w:rsidR="00810597" w:rsidRPr="0068181C">
              <w:rPr>
                <w:rFonts w:ascii="Arial" w:hAnsi="Arial" w:cs="Arial"/>
                <w:sz w:val="18"/>
                <w:szCs w:val="18"/>
                <w:lang w:val="en-US"/>
              </w:rPr>
              <w:t xml:space="preserve"> </w:t>
            </w:r>
            <w:r w:rsidR="004823D7" w:rsidRPr="0068181C">
              <w:rPr>
                <w:rFonts w:ascii="Arial" w:hAnsi="Arial" w:cs="Arial"/>
                <w:b/>
                <w:bCs/>
                <w:sz w:val="18"/>
                <w:szCs w:val="18"/>
                <w:lang w:val="en-US"/>
              </w:rPr>
              <w:t>A</w:t>
            </w:r>
            <w:r w:rsidR="00810597" w:rsidRPr="0068181C">
              <w:rPr>
                <w:rFonts w:ascii="Arial" w:hAnsi="Arial" w:cs="Arial"/>
                <w:b/>
                <w:bCs/>
                <w:sz w:val="18"/>
                <w:szCs w:val="18"/>
                <w:lang w:val="en-US"/>
              </w:rPr>
              <w:t>rti</w:t>
            </w:r>
            <w:r w:rsidRPr="0068181C">
              <w:rPr>
                <w:rFonts w:ascii="Arial" w:hAnsi="Arial" w:cs="Arial"/>
                <w:b/>
                <w:bCs/>
                <w:sz w:val="18"/>
                <w:szCs w:val="18"/>
                <w:lang w:val="en-US"/>
              </w:rPr>
              <w:t>c</w:t>
            </w:r>
            <w:r w:rsidR="00810597" w:rsidRPr="0068181C">
              <w:rPr>
                <w:rFonts w:ascii="Arial" w:hAnsi="Arial" w:cs="Arial"/>
                <w:b/>
                <w:bCs/>
                <w:sz w:val="18"/>
                <w:szCs w:val="18"/>
                <w:lang w:val="en-US"/>
              </w:rPr>
              <w:t>l</w:t>
            </w:r>
            <w:r w:rsidRPr="0068181C">
              <w:rPr>
                <w:rFonts w:ascii="Arial" w:hAnsi="Arial" w:cs="Arial"/>
                <w:b/>
                <w:bCs/>
                <w:sz w:val="18"/>
                <w:szCs w:val="18"/>
                <w:lang w:val="en-US"/>
              </w:rPr>
              <w:t>e</w:t>
            </w:r>
            <w:r w:rsidR="00810597" w:rsidRPr="0068181C">
              <w:rPr>
                <w:rFonts w:ascii="Arial" w:hAnsi="Arial" w:cs="Arial"/>
                <w:b/>
                <w:bCs/>
                <w:sz w:val="18"/>
                <w:szCs w:val="18"/>
                <w:lang w:val="en-US"/>
              </w:rPr>
              <w:t xml:space="preserve"> 13</w:t>
            </w:r>
            <w:r w:rsidRPr="0068181C">
              <w:rPr>
                <w:rFonts w:ascii="Arial" w:hAnsi="Arial" w:cs="Arial"/>
                <w:b/>
                <w:bCs/>
                <w:sz w:val="18"/>
                <w:szCs w:val="18"/>
                <w:lang w:val="en-US"/>
              </w:rPr>
              <w:t>,</w:t>
            </w:r>
            <w:r w:rsidR="00810597" w:rsidRPr="0068181C">
              <w:rPr>
                <w:rFonts w:ascii="Arial" w:hAnsi="Arial" w:cs="Arial"/>
                <w:sz w:val="18"/>
                <w:szCs w:val="18"/>
                <w:lang w:val="en-US"/>
              </w:rPr>
              <w:t xml:space="preserve"> </w:t>
            </w:r>
            <w:r w:rsidRPr="0068181C">
              <w:rPr>
                <w:rFonts w:ascii="Arial" w:hAnsi="Arial" w:cs="Arial"/>
                <w:sz w:val="18"/>
                <w:szCs w:val="18"/>
                <w:lang w:val="en-US"/>
              </w:rPr>
              <w:t xml:space="preserve">because of the inadequate level of the social assistance and the </w:t>
            </w:r>
            <w:proofErr w:type="spellStart"/>
            <w:r w:rsidRPr="0068181C">
              <w:rPr>
                <w:rFonts w:ascii="Arial" w:hAnsi="Arial" w:cs="Arial"/>
                <w:sz w:val="18"/>
                <w:szCs w:val="18"/>
                <w:lang w:val="en-US"/>
              </w:rPr>
              <w:t>labour</w:t>
            </w:r>
            <w:proofErr w:type="spellEnd"/>
            <w:r w:rsidRPr="0068181C">
              <w:rPr>
                <w:rFonts w:ascii="Arial" w:hAnsi="Arial" w:cs="Arial"/>
                <w:sz w:val="18"/>
                <w:szCs w:val="18"/>
                <w:lang w:val="en-US"/>
              </w:rPr>
              <w:t xml:space="preserve"> market subsidy</w:t>
            </w:r>
            <w:r w:rsidR="00810597" w:rsidRPr="0068181C">
              <w:rPr>
                <w:rFonts w:ascii="Arial" w:hAnsi="Arial" w:cs="Arial"/>
                <w:sz w:val="18"/>
                <w:szCs w:val="18"/>
                <w:lang w:val="en-US"/>
              </w:rPr>
              <w:t>.</w:t>
            </w:r>
          </w:p>
        </w:tc>
        <w:tc>
          <w:tcPr>
            <w:tcW w:w="3509" w:type="dxa"/>
          </w:tcPr>
          <w:p w14:paraId="3F60FA1D" w14:textId="77777777" w:rsidR="00103C1E" w:rsidRDefault="00F82780" w:rsidP="008C0A9C">
            <w:pPr>
              <w:spacing w:after="160" w:line="259" w:lineRule="auto"/>
              <w:rPr>
                <w:rFonts w:ascii="Arial" w:hAnsi="Arial" w:cs="Arial"/>
                <w:sz w:val="18"/>
                <w:szCs w:val="18"/>
                <w:lang w:val="en-US"/>
              </w:rPr>
            </w:pPr>
            <w:r w:rsidRPr="0068181C">
              <w:rPr>
                <w:rFonts w:ascii="Arial" w:hAnsi="Arial" w:cs="Arial"/>
                <w:sz w:val="18"/>
                <w:szCs w:val="18"/>
                <w:lang w:val="en-US"/>
              </w:rPr>
              <w:t>After 2014, d</w:t>
            </w:r>
            <w:r w:rsidR="00EB43E8" w:rsidRPr="0068181C">
              <w:rPr>
                <w:rFonts w:ascii="Arial" w:hAnsi="Arial" w:cs="Arial"/>
                <w:sz w:val="18"/>
                <w:szCs w:val="18"/>
                <w:lang w:val="en-US"/>
              </w:rPr>
              <w:t>ifferent reforms</w:t>
            </w:r>
            <w:r w:rsidRPr="0068181C">
              <w:rPr>
                <w:rFonts w:ascii="Arial" w:hAnsi="Arial" w:cs="Arial"/>
                <w:sz w:val="18"/>
                <w:szCs w:val="18"/>
                <w:lang w:val="en-US"/>
              </w:rPr>
              <w:t xml:space="preserve"> (such as the</w:t>
            </w:r>
            <w:r w:rsidR="00D76144" w:rsidRPr="0068181C">
              <w:rPr>
                <w:rFonts w:ascii="Arial" w:hAnsi="Arial" w:cs="Arial"/>
                <w:sz w:val="18"/>
                <w:szCs w:val="18"/>
                <w:lang w:val="en-US"/>
              </w:rPr>
              <w:t xml:space="preserve"> activation model for unemployment security</w:t>
            </w:r>
            <w:r w:rsidRPr="0068181C">
              <w:rPr>
                <w:rFonts w:ascii="Arial" w:hAnsi="Arial" w:cs="Arial"/>
                <w:sz w:val="18"/>
                <w:szCs w:val="18"/>
                <w:lang w:val="en-US"/>
              </w:rPr>
              <w:t>) and different experiments (such as basic income</w:t>
            </w:r>
            <w:r w:rsidR="00D76144" w:rsidRPr="0068181C">
              <w:rPr>
                <w:rFonts w:ascii="Arial" w:hAnsi="Arial" w:cs="Arial"/>
                <w:sz w:val="18"/>
                <w:szCs w:val="18"/>
                <w:lang w:val="en-US"/>
              </w:rPr>
              <w:t xml:space="preserve"> experiment</w:t>
            </w:r>
            <w:r w:rsidRPr="0068181C">
              <w:rPr>
                <w:rFonts w:ascii="Arial" w:hAnsi="Arial" w:cs="Arial"/>
                <w:sz w:val="18"/>
                <w:szCs w:val="18"/>
                <w:lang w:val="en-US"/>
              </w:rPr>
              <w:t>)</w:t>
            </w:r>
            <w:r w:rsidR="00EB43E8" w:rsidRPr="0068181C">
              <w:rPr>
                <w:rFonts w:ascii="Arial" w:hAnsi="Arial" w:cs="Arial"/>
                <w:sz w:val="18"/>
                <w:szCs w:val="18"/>
                <w:lang w:val="en-US"/>
              </w:rPr>
              <w:t xml:space="preserve"> </w:t>
            </w:r>
            <w:r w:rsidRPr="0068181C">
              <w:rPr>
                <w:rFonts w:ascii="Arial" w:hAnsi="Arial" w:cs="Arial"/>
                <w:sz w:val="18"/>
                <w:szCs w:val="18"/>
                <w:lang w:val="en-US"/>
              </w:rPr>
              <w:t xml:space="preserve">as well as freezing of the index increment of different subsidies </w:t>
            </w:r>
            <w:r w:rsidR="00EB43E8" w:rsidRPr="0068181C">
              <w:rPr>
                <w:rFonts w:ascii="Arial" w:hAnsi="Arial" w:cs="Arial"/>
                <w:sz w:val="18"/>
                <w:szCs w:val="18"/>
                <w:lang w:val="en-US"/>
              </w:rPr>
              <w:t>have been made</w:t>
            </w:r>
            <w:r w:rsidR="00D76144" w:rsidRPr="0068181C">
              <w:rPr>
                <w:rFonts w:ascii="Arial" w:hAnsi="Arial" w:cs="Arial"/>
                <w:sz w:val="18"/>
                <w:szCs w:val="18"/>
                <w:lang w:val="en-US"/>
              </w:rPr>
              <w:t>.</w:t>
            </w:r>
            <w:r w:rsidR="00810597" w:rsidRPr="0068181C">
              <w:rPr>
                <w:rFonts w:ascii="Arial" w:hAnsi="Arial" w:cs="Arial"/>
                <w:sz w:val="18"/>
                <w:szCs w:val="18"/>
                <w:lang w:val="en-US"/>
              </w:rPr>
              <w:t xml:space="preserve"> </w:t>
            </w:r>
            <w:r w:rsidR="00D76144" w:rsidRPr="0068181C">
              <w:rPr>
                <w:rFonts w:ascii="Arial" w:hAnsi="Arial" w:cs="Arial"/>
                <w:sz w:val="18"/>
                <w:szCs w:val="18"/>
                <w:lang w:val="en-US"/>
              </w:rPr>
              <w:t>After the paying of income support shifted from the municipalities to the Social Insurance Institution of Finland, many people were left without subsidies and could not pay their medicines or housing due to delays in payment of the income support. The government needs to submit updated information on the reforms in the next reports</w:t>
            </w:r>
            <w:r w:rsidR="00810597" w:rsidRPr="0068181C">
              <w:rPr>
                <w:rFonts w:ascii="Arial" w:hAnsi="Arial" w:cs="Arial"/>
                <w:sz w:val="18"/>
                <w:szCs w:val="18"/>
                <w:lang w:val="en-US"/>
              </w:rPr>
              <w:t>.</w:t>
            </w:r>
          </w:p>
          <w:p w14:paraId="2D040541" w14:textId="4F31AA59" w:rsidR="00810597" w:rsidRPr="0068181C" w:rsidRDefault="008C0A9C" w:rsidP="008C0A9C">
            <w:pPr>
              <w:spacing w:after="160" w:line="259" w:lineRule="auto"/>
              <w:rPr>
                <w:rFonts w:ascii="Arial" w:hAnsi="Arial" w:cs="Arial"/>
                <w:sz w:val="18"/>
                <w:szCs w:val="18"/>
                <w:lang w:val="en-GB"/>
              </w:rPr>
            </w:pPr>
            <w:r w:rsidRPr="007B3429">
              <w:rPr>
                <w:rFonts w:ascii="Arial" w:hAnsi="Arial" w:cs="Arial"/>
                <w:sz w:val="18"/>
                <w:szCs w:val="18"/>
                <w:lang w:val="en-US"/>
              </w:rPr>
              <w:t xml:space="preserve">The ECSR repeated that the national authorities should </w:t>
            </w:r>
            <w:r w:rsidR="00103C1E" w:rsidRPr="007B3429">
              <w:rPr>
                <w:rFonts w:ascii="Arial" w:hAnsi="Arial" w:cs="Arial"/>
                <w:sz w:val="18"/>
                <w:szCs w:val="18"/>
                <w:lang w:val="en-GB"/>
              </w:rPr>
              <w:t xml:space="preserve">provide information in future reports on measures taken to follow up on the decision on the merits, giving examples supported by figures of the various categories of recipients, showing that the main benefits at issue, </w:t>
            </w:r>
            <w:r w:rsidR="00103C1E" w:rsidRPr="007B3429">
              <w:rPr>
                <w:rFonts w:ascii="Arial" w:hAnsi="Arial" w:cs="Arial"/>
                <w:sz w:val="18"/>
                <w:szCs w:val="18"/>
                <w:lang w:val="en-GB"/>
              </w:rPr>
              <w:lastRenderedPageBreak/>
              <w:t>when combined with other supplementary benefits, reach a sufficient level to meet the requirements of Article 12§1 and Article 13§1 of the Charter respectively.</w:t>
            </w:r>
          </w:p>
        </w:tc>
      </w:tr>
      <w:tr w:rsidR="00810597" w:rsidRPr="00414B7C" w14:paraId="0C0695A4" w14:textId="77777777" w:rsidTr="00004F15">
        <w:tc>
          <w:tcPr>
            <w:tcW w:w="2728" w:type="dxa"/>
          </w:tcPr>
          <w:p w14:paraId="57709D7E" w14:textId="34CF9FC6" w:rsidR="00810597" w:rsidRPr="0068181C" w:rsidRDefault="00810597" w:rsidP="00810597">
            <w:pPr>
              <w:spacing w:after="160" w:line="259" w:lineRule="auto"/>
              <w:rPr>
                <w:rFonts w:ascii="Arial" w:hAnsi="Arial" w:cs="Arial"/>
                <w:sz w:val="18"/>
                <w:szCs w:val="18"/>
                <w:lang w:val="en-US"/>
              </w:rPr>
            </w:pPr>
            <w:r w:rsidRPr="0068181C">
              <w:rPr>
                <w:rFonts w:ascii="Arial" w:hAnsi="Arial" w:cs="Arial"/>
                <w:b/>
                <w:bCs/>
                <w:sz w:val="18"/>
                <w:szCs w:val="18"/>
                <w:lang w:val="en-US"/>
              </w:rPr>
              <w:lastRenderedPageBreak/>
              <w:t>Finnish Society of Social Rights v. Finland</w:t>
            </w:r>
            <w:r w:rsidRPr="0068181C">
              <w:rPr>
                <w:rFonts w:ascii="Arial" w:hAnsi="Arial" w:cs="Arial"/>
                <w:sz w:val="18"/>
                <w:szCs w:val="18"/>
                <w:lang w:val="en-US"/>
              </w:rPr>
              <w:t xml:space="preserve"> (</w:t>
            </w:r>
            <w:r w:rsidR="00414B7C">
              <w:fldChar w:fldCharType="begin"/>
            </w:r>
            <w:r w:rsidR="00414B7C" w:rsidRPr="00414B7C">
              <w:rPr>
                <w:lang w:val="en-GB"/>
              </w:rPr>
              <w:instrText xml:space="preserve"> HYPER</w:instrText>
            </w:r>
            <w:r w:rsidR="00414B7C" w:rsidRPr="00414B7C">
              <w:rPr>
                <w:lang w:val="en-GB"/>
              </w:rPr>
              <w:instrText>LINK "https://www.coe.int/en/web/european-social-charter/processed-complaints/-/asset_publisher/5GEFkJmH2bYG/content/no-106-2014-finnish-society-of-social-rights-v-finland?inheritRedirect=false&amp;redirect=https%3A%2F%2Fwww.coe.int%2Fen%2Fweb%2Feuropean-socia</w:instrText>
            </w:r>
            <w:r w:rsidR="00414B7C" w:rsidRPr="00414B7C">
              <w:rPr>
                <w:lang w:val="en-GB"/>
              </w:rPr>
              <w:instrText xml:space="preserve">l-charter%2Fprocessed-complaints%3Fp_p_id%3D101_INSTANCE_5GEFkJmH2bYG%26p_p_lifecycle%3D0%26p_p_state%3Dnormal%26p_p_mode%3Dview%26p_p_col_id%3Dcolumn-4%26p_p_col_count%3D1%26p_r_p_564233524_resetCur%3Dtrue%26p_r_p_564233524_categoryId%3D28547786" </w:instrText>
            </w:r>
            <w:r w:rsidR="00414B7C">
              <w:fldChar w:fldCharType="separate"/>
            </w:r>
            <w:r w:rsidR="00277788" w:rsidRPr="0068181C">
              <w:rPr>
                <w:rFonts w:ascii="Arial" w:hAnsi="Arial" w:cs="Arial"/>
                <w:sz w:val="18"/>
                <w:szCs w:val="18"/>
                <w:lang w:val="en-US"/>
              </w:rPr>
              <w:t>complaint</w:t>
            </w:r>
            <w:r w:rsidRPr="0068181C">
              <w:rPr>
                <w:rStyle w:val="Hyperlinkki"/>
                <w:rFonts w:ascii="Arial" w:hAnsi="Arial" w:cs="Arial"/>
                <w:sz w:val="18"/>
                <w:szCs w:val="18"/>
                <w:lang w:val="en-US"/>
              </w:rPr>
              <w:t xml:space="preserve"> no. 106/2014</w:t>
            </w:r>
            <w:r w:rsidR="00414B7C">
              <w:rPr>
                <w:rStyle w:val="Hyperlinkki"/>
                <w:rFonts w:ascii="Arial" w:hAnsi="Arial" w:cs="Arial"/>
                <w:sz w:val="18"/>
                <w:szCs w:val="18"/>
                <w:lang w:val="en-US"/>
              </w:rPr>
              <w:fldChar w:fldCharType="end"/>
            </w:r>
            <w:r w:rsidRPr="0068181C">
              <w:rPr>
                <w:rFonts w:ascii="Arial" w:hAnsi="Arial" w:cs="Arial"/>
                <w:sz w:val="18"/>
                <w:szCs w:val="18"/>
                <w:lang w:val="en-US"/>
              </w:rPr>
              <w:t>)</w:t>
            </w:r>
          </w:p>
          <w:p w14:paraId="1656D360" w14:textId="77777777" w:rsidR="00810597" w:rsidRPr="0068181C" w:rsidRDefault="00810597" w:rsidP="00810597">
            <w:pPr>
              <w:spacing w:after="160" w:line="259" w:lineRule="auto"/>
              <w:rPr>
                <w:rFonts w:ascii="Arial" w:hAnsi="Arial" w:cs="Arial"/>
                <w:sz w:val="18"/>
                <w:szCs w:val="18"/>
                <w:lang w:val="en-US"/>
              </w:rPr>
            </w:pPr>
          </w:p>
          <w:p w14:paraId="1BF7D33B" w14:textId="4D297829" w:rsidR="00810597" w:rsidRPr="0068181C" w:rsidRDefault="00103C1E" w:rsidP="00810597">
            <w:pPr>
              <w:spacing w:after="160" w:line="259" w:lineRule="auto"/>
              <w:rPr>
                <w:rFonts w:ascii="Arial" w:hAnsi="Arial" w:cs="Arial"/>
                <w:sz w:val="18"/>
                <w:szCs w:val="18"/>
                <w:lang w:val="en-US"/>
              </w:rPr>
            </w:pPr>
            <w:r w:rsidRPr="007B3429">
              <w:rPr>
                <w:rFonts w:ascii="Arial" w:hAnsi="Arial" w:cs="Arial"/>
                <w:sz w:val="18"/>
                <w:szCs w:val="18"/>
                <w:lang w:val="en-US"/>
              </w:rPr>
              <w:t>3</w:t>
            </w:r>
            <w:r w:rsidRPr="007B3429">
              <w:rPr>
                <w:rFonts w:ascii="Arial" w:hAnsi="Arial" w:cs="Arial"/>
                <w:sz w:val="18"/>
                <w:szCs w:val="18"/>
                <w:vertAlign w:val="superscript"/>
                <w:lang w:val="en-US"/>
              </w:rPr>
              <w:t>rd</w:t>
            </w:r>
            <w:r w:rsidRPr="007B3429">
              <w:rPr>
                <w:rFonts w:ascii="Arial" w:hAnsi="Arial" w:cs="Arial"/>
                <w:sz w:val="18"/>
                <w:szCs w:val="18"/>
                <w:lang w:val="en-US"/>
              </w:rPr>
              <w:t xml:space="preserve"> </w:t>
            </w:r>
            <w:r w:rsidR="00B958A6" w:rsidRPr="007B3429">
              <w:rPr>
                <w:rFonts w:ascii="Arial" w:hAnsi="Arial" w:cs="Arial"/>
                <w:sz w:val="18"/>
                <w:szCs w:val="18"/>
                <w:lang w:val="en-US"/>
              </w:rPr>
              <w:t>assessment of the ECSR of the follow</w:t>
            </w:r>
            <w:r w:rsidR="00055F7E" w:rsidRPr="007B3429">
              <w:rPr>
                <w:rFonts w:ascii="Arial" w:hAnsi="Arial" w:cs="Arial"/>
                <w:sz w:val="18"/>
                <w:szCs w:val="18"/>
                <w:lang w:val="en-US"/>
              </w:rPr>
              <w:t>-</w:t>
            </w:r>
            <w:r w:rsidR="00B958A6" w:rsidRPr="007B3429">
              <w:rPr>
                <w:rFonts w:ascii="Arial" w:hAnsi="Arial" w:cs="Arial"/>
                <w:sz w:val="18"/>
                <w:szCs w:val="18"/>
                <w:lang w:val="en-US"/>
              </w:rPr>
              <w:t>up from 202</w:t>
            </w:r>
            <w:r w:rsidRPr="007B3429">
              <w:rPr>
                <w:rFonts w:ascii="Arial" w:hAnsi="Arial" w:cs="Arial"/>
                <w:sz w:val="18"/>
                <w:szCs w:val="18"/>
                <w:lang w:val="en-US"/>
              </w:rPr>
              <w:t>1</w:t>
            </w:r>
            <w:r w:rsidR="0056012F">
              <w:rPr>
                <w:rFonts w:ascii="Arial" w:hAnsi="Arial" w:cs="Arial"/>
                <w:sz w:val="18"/>
                <w:szCs w:val="18"/>
                <w:lang w:val="en-US"/>
              </w:rPr>
              <w:t>.</w:t>
            </w:r>
          </w:p>
        </w:tc>
        <w:tc>
          <w:tcPr>
            <w:tcW w:w="1945" w:type="dxa"/>
          </w:tcPr>
          <w:p w14:paraId="0D6F519B" w14:textId="57072DE0" w:rsidR="00810597" w:rsidRPr="0068181C" w:rsidRDefault="00810597" w:rsidP="00810597">
            <w:pPr>
              <w:spacing w:after="160" w:line="259" w:lineRule="auto"/>
              <w:rPr>
                <w:rFonts w:ascii="Arial" w:hAnsi="Arial" w:cs="Arial"/>
                <w:sz w:val="18"/>
                <w:szCs w:val="18"/>
                <w:lang w:val="en-US"/>
              </w:rPr>
            </w:pPr>
            <w:r w:rsidRPr="0068181C">
              <w:rPr>
                <w:rFonts w:ascii="Arial" w:hAnsi="Arial" w:cs="Arial"/>
                <w:sz w:val="18"/>
                <w:szCs w:val="18"/>
                <w:lang w:val="en-US"/>
              </w:rPr>
              <w:t>8</w:t>
            </w:r>
            <w:r w:rsidR="000F2C7A" w:rsidRPr="0068181C">
              <w:rPr>
                <w:rFonts w:ascii="Arial" w:hAnsi="Arial" w:cs="Arial"/>
                <w:sz w:val="18"/>
                <w:szCs w:val="18"/>
                <w:lang w:val="en-US"/>
              </w:rPr>
              <w:t xml:space="preserve"> </w:t>
            </w:r>
            <w:r w:rsidR="00277788" w:rsidRPr="0068181C">
              <w:rPr>
                <w:rFonts w:ascii="Arial" w:hAnsi="Arial" w:cs="Arial"/>
                <w:sz w:val="18"/>
                <w:szCs w:val="18"/>
                <w:lang w:val="en-US"/>
              </w:rPr>
              <w:t xml:space="preserve">September </w:t>
            </w:r>
            <w:r w:rsidRPr="0068181C">
              <w:rPr>
                <w:rFonts w:ascii="Arial" w:hAnsi="Arial" w:cs="Arial"/>
                <w:sz w:val="18"/>
                <w:szCs w:val="18"/>
                <w:lang w:val="en-US"/>
              </w:rPr>
              <w:t>2016</w:t>
            </w:r>
          </w:p>
        </w:tc>
        <w:tc>
          <w:tcPr>
            <w:tcW w:w="2410" w:type="dxa"/>
          </w:tcPr>
          <w:p w14:paraId="029A729E" w14:textId="66370877" w:rsidR="00810597" w:rsidRPr="0068181C" w:rsidRDefault="0080320A" w:rsidP="00810597">
            <w:pPr>
              <w:spacing w:after="160" w:line="259" w:lineRule="auto"/>
              <w:rPr>
                <w:rFonts w:ascii="Arial" w:hAnsi="Arial" w:cs="Arial"/>
                <w:sz w:val="18"/>
                <w:szCs w:val="18"/>
                <w:lang w:val="en-US"/>
              </w:rPr>
            </w:pPr>
            <w:r w:rsidRPr="0068181C">
              <w:rPr>
                <w:rFonts w:ascii="Arial" w:hAnsi="Arial" w:cs="Arial"/>
                <w:sz w:val="18"/>
                <w:szCs w:val="18"/>
                <w:lang w:val="en-US"/>
              </w:rPr>
              <w:t>The Committee of Social Rights has found a violation, which has not yet been remedied.</w:t>
            </w:r>
          </w:p>
        </w:tc>
        <w:tc>
          <w:tcPr>
            <w:tcW w:w="3402" w:type="dxa"/>
          </w:tcPr>
          <w:p w14:paraId="69F42060" w14:textId="6D132220" w:rsidR="00CB72FC" w:rsidRPr="0068181C" w:rsidRDefault="00CB72FC" w:rsidP="00CB72FC">
            <w:pPr>
              <w:rPr>
                <w:rFonts w:ascii="Arial" w:hAnsi="Arial" w:cs="Arial"/>
                <w:sz w:val="18"/>
                <w:szCs w:val="18"/>
                <w:lang w:val="en-US"/>
              </w:rPr>
            </w:pPr>
            <w:r w:rsidRPr="0068181C">
              <w:rPr>
                <w:rFonts w:ascii="Arial" w:hAnsi="Arial" w:cs="Arial"/>
                <w:sz w:val="18"/>
                <w:szCs w:val="18"/>
                <w:lang w:val="en-US"/>
              </w:rPr>
              <w:t xml:space="preserve">The ECSR found a violation of </w:t>
            </w:r>
            <w:r w:rsidR="004823D7" w:rsidRPr="0068181C">
              <w:rPr>
                <w:rFonts w:ascii="Arial" w:hAnsi="Arial" w:cs="Arial"/>
                <w:b/>
                <w:bCs/>
                <w:sz w:val="18"/>
                <w:szCs w:val="18"/>
                <w:lang w:val="en-US"/>
              </w:rPr>
              <w:t>A</w:t>
            </w:r>
            <w:r w:rsidR="00810597" w:rsidRPr="0068181C">
              <w:rPr>
                <w:rFonts w:ascii="Arial" w:hAnsi="Arial" w:cs="Arial"/>
                <w:b/>
                <w:bCs/>
                <w:sz w:val="18"/>
                <w:szCs w:val="18"/>
                <w:lang w:val="en-US"/>
              </w:rPr>
              <w:t>rti</w:t>
            </w:r>
            <w:r w:rsidRPr="0068181C">
              <w:rPr>
                <w:rFonts w:ascii="Arial" w:hAnsi="Arial" w:cs="Arial"/>
                <w:b/>
                <w:bCs/>
                <w:sz w:val="18"/>
                <w:szCs w:val="18"/>
                <w:lang w:val="en-US"/>
              </w:rPr>
              <w:t>c</w:t>
            </w:r>
            <w:r w:rsidR="00810597" w:rsidRPr="0068181C">
              <w:rPr>
                <w:rFonts w:ascii="Arial" w:hAnsi="Arial" w:cs="Arial"/>
                <w:b/>
                <w:bCs/>
                <w:sz w:val="18"/>
                <w:szCs w:val="18"/>
                <w:lang w:val="en-US"/>
              </w:rPr>
              <w:t>l</w:t>
            </w:r>
            <w:r w:rsidRPr="0068181C">
              <w:rPr>
                <w:rFonts w:ascii="Arial" w:hAnsi="Arial" w:cs="Arial"/>
                <w:b/>
                <w:bCs/>
                <w:sz w:val="18"/>
                <w:szCs w:val="18"/>
                <w:lang w:val="en-US"/>
              </w:rPr>
              <w:t>e</w:t>
            </w:r>
            <w:r w:rsidR="00810597" w:rsidRPr="0068181C">
              <w:rPr>
                <w:rFonts w:ascii="Arial" w:hAnsi="Arial" w:cs="Arial"/>
                <w:b/>
                <w:bCs/>
                <w:sz w:val="18"/>
                <w:szCs w:val="18"/>
                <w:lang w:val="en-US"/>
              </w:rPr>
              <w:t xml:space="preserve"> 24</w:t>
            </w:r>
            <w:r w:rsidR="00810597" w:rsidRPr="0068181C">
              <w:rPr>
                <w:rFonts w:ascii="Arial" w:hAnsi="Arial" w:cs="Arial"/>
                <w:sz w:val="18"/>
                <w:szCs w:val="18"/>
                <w:lang w:val="en-US"/>
              </w:rPr>
              <w:t xml:space="preserve"> </w:t>
            </w:r>
            <w:r w:rsidR="00103C1E" w:rsidRPr="0068181C">
              <w:rPr>
                <w:rFonts w:ascii="Arial" w:hAnsi="Arial" w:cs="Arial"/>
                <w:sz w:val="18"/>
                <w:szCs w:val="18"/>
                <w:lang w:val="en-US"/>
              </w:rPr>
              <w:t>because</w:t>
            </w:r>
            <w:r w:rsidRPr="0068181C">
              <w:rPr>
                <w:rFonts w:ascii="Arial" w:hAnsi="Arial" w:cs="Arial"/>
                <w:sz w:val="18"/>
                <w:szCs w:val="18"/>
                <w:lang w:val="en-US"/>
              </w:rPr>
              <w:t xml:space="preserve"> the upper limit on compensation in cases of unlawful dismissal</w:t>
            </w:r>
            <w:r w:rsidR="00103C1E">
              <w:rPr>
                <w:rFonts w:ascii="Arial" w:hAnsi="Arial" w:cs="Arial"/>
                <w:sz w:val="18"/>
                <w:szCs w:val="18"/>
                <w:lang w:val="en-US"/>
              </w:rPr>
              <w:t xml:space="preserve"> </w:t>
            </w:r>
            <w:r w:rsidRPr="0068181C">
              <w:rPr>
                <w:rFonts w:ascii="Arial" w:hAnsi="Arial" w:cs="Arial"/>
                <w:sz w:val="18"/>
                <w:szCs w:val="18"/>
                <w:lang w:val="en-US"/>
              </w:rPr>
              <w:t>is not always commensurate</w:t>
            </w:r>
          </w:p>
          <w:p w14:paraId="558ADF7C" w14:textId="21CA94E1" w:rsidR="00CB72FC" w:rsidRPr="0068181C" w:rsidRDefault="00CB72FC" w:rsidP="00CB72FC">
            <w:pPr>
              <w:rPr>
                <w:rFonts w:ascii="Arial" w:hAnsi="Arial" w:cs="Arial"/>
                <w:sz w:val="18"/>
                <w:szCs w:val="18"/>
                <w:lang w:val="en-US"/>
              </w:rPr>
            </w:pPr>
            <w:r w:rsidRPr="0068181C">
              <w:rPr>
                <w:rFonts w:ascii="Arial" w:hAnsi="Arial" w:cs="Arial"/>
                <w:sz w:val="18"/>
                <w:szCs w:val="18"/>
                <w:lang w:val="en-US"/>
              </w:rPr>
              <w:t>with the loss suffered</w:t>
            </w:r>
            <w:r w:rsidR="004823D7" w:rsidRPr="0068181C">
              <w:rPr>
                <w:rFonts w:ascii="Arial" w:hAnsi="Arial" w:cs="Arial"/>
                <w:sz w:val="18"/>
                <w:szCs w:val="18"/>
                <w:lang w:val="en-US"/>
              </w:rPr>
              <w:t>.</w:t>
            </w:r>
          </w:p>
          <w:p w14:paraId="4BAC855E" w14:textId="118E7927" w:rsidR="00CB72FC" w:rsidRPr="0068181C" w:rsidRDefault="004823D7" w:rsidP="00CB72FC">
            <w:pPr>
              <w:rPr>
                <w:rFonts w:ascii="Arial" w:hAnsi="Arial" w:cs="Arial"/>
                <w:sz w:val="18"/>
                <w:szCs w:val="18"/>
                <w:lang w:val="en-US"/>
              </w:rPr>
            </w:pPr>
            <w:r w:rsidRPr="0068181C">
              <w:rPr>
                <w:rFonts w:ascii="Arial" w:hAnsi="Arial" w:cs="Arial"/>
                <w:sz w:val="18"/>
                <w:szCs w:val="18"/>
                <w:lang w:val="en-US"/>
              </w:rPr>
              <w:t>U</w:t>
            </w:r>
            <w:r w:rsidR="00CB72FC" w:rsidRPr="0068181C">
              <w:rPr>
                <w:rFonts w:ascii="Arial" w:hAnsi="Arial" w:cs="Arial"/>
                <w:sz w:val="18"/>
                <w:szCs w:val="18"/>
                <w:lang w:val="en-US"/>
              </w:rPr>
              <w:t>nder Finnish legislation reinstatement is not made available as a</w:t>
            </w:r>
          </w:p>
          <w:p w14:paraId="7A2BB990" w14:textId="4B4EC77B" w:rsidR="00810597" w:rsidRPr="0068181C" w:rsidRDefault="00CB72FC" w:rsidP="00CB72FC">
            <w:pPr>
              <w:spacing w:after="160" w:line="259" w:lineRule="auto"/>
              <w:rPr>
                <w:rFonts w:ascii="Arial" w:hAnsi="Arial" w:cs="Arial"/>
                <w:sz w:val="18"/>
                <w:szCs w:val="18"/>
                <w:lang w:val="en-US"/>
              </w:rPr>
            </w:pPr>
            <w:r w:rsidRPr="0068181C">
              <w:rPr>
                <w:rFonts w:ascii="Arial" w:hAnsi="Arial" w:cs="Arial"/>
                <w:sz w:val="18"/>
                <w:szCs w:val="18"/>
                <w:lang w:val="en-US"/>
              </w:rPr>
              <w:t>possible remedy in cases of unlawful dismissal.</w:t>
            </w:r>
            <w:r w:rsidR="00D70C41" w:rsidRPr="0068181C">
              <w:rPr>
                <w:rFonts w:ascii="Arial" w:hAnsi="Arial" w:cs="Arial"/>
                <w:sz w:val="18"/>
                <w:szCs w:val="18"/>
                <w:lang w:val="en-US"/>
              </w:rPr>
              <w:t xml:space="preserve"> The legislation is based on a tripartite decision and the Government does not see any need for changing the legislation.</w:t>
            </w:r>
            <w:r w:rsidR="00810597" w:rsidRPr="0068181C">
              <w:rPr>
                <w:rFonts w:ascii="Arial" w:hAnsi="Arial" w:cs="Arial"/>
                <w:sz w:val="18"/>
                <w:szCs w:val="18"/>
                <w:lang w:val="en-US"/>
              </w:rPr>
              <w:t xml:space="preserve"> </w:t>
            </w:r>
          </w:p>
        </w:tc>
        <w:tc>
          <w:tcPr>
            <w:tcW w:w="3509" w:type="dxa"/>
          </w:tcPr>
          <w:p w14:paraId="7A7AC2EC" w14:textId="07350036" w:rsidR="00810597" w:rsidRPr="0068181C" w:rsidRDefault="00D70C41" w:rsidP="00507778">
            <w:pPr>
              <w:rPr>
                <w:rFonts w:ascii="Arial" w:hAnsi="Arial" w:cs="Arial"/>
                <w:sz w:val="18"/>
                <w:szCs w:val="18"/>
                <w:lang w:val="en-US"/>
              </w:rPr>
            </w:pPr>
            <w:r w:rsidRPr="0068181C">
              <w:rPr>
                <w:rFonts w:ascii="Arial" w:hAnsi="Arial" w:cs="Arial"/>
                <w:sz w:val="18"/>
                <w:szCs w:val="18"/>
                <w:lang w:val="en-US"/>
              </w:rPr>
              <w:t>The Committee considers</w:t>
            </w:r>
            <w:r w:rsidR="00507778" w:rsidRPr="0068181C">
              <w:rPr>
                <w:rFonts w:ascii="Arial" w:hAnsi="Arial" w:cs="Arial"/>
                <w:sz w:val="18"/>
                <w:szCs w:val="18"/>
                <w:lang w:val="en-US"/>
              </w:rPr>
              <w:t xml:space="preserve"> that</w:t>
            </w:r>
            <w:r w:rsidRPr="0068181C">
              <w:rPr>
                <w:rFonts w:ascii="Arial" w:hAnsi="Arial" w:cs="Arial"/>
                <w:sz w:val="18"/>
                <w:szCs w:val="18"/>
                <w:lang w:val="en-US"/>
              </w:rPr>
              <w:t xml:space="preserve"> </w:t>
            </w:r>
            <w:r w:rsidR="00507778" w:rsidRPr="0068181C">
              <w:rPr>
                <w:rFonts w:ascii="Arial" w:hAnsi="Arial" w:cs="Arial"/>
                <w:sz w:val="18"/>
                <w:szCs w:val="18"/>
                <w:lang w:val="en-US"/>
              </w:rPr>
              <w:t>there is no indication of any measures taken to give follow</w:t>
            </w:r>
            <w:r w:rsidR="00055F7E" w:rsidRPr="0068181C">
              <w:rPr>
                <w:rFonts w:ascii="Arial" w:hAnsi="Arial" w:cs="Arial"/>
                <w:sz w:val="18"/>
                <w:szCs w:val="18"/>
                <w:lang w:val="en-US"/>
              </w:rPr>
              <w:t>-</w:t>
            </w:r>
            <w:r w:rsidR="00507778" w:rsidRPr="0068181C">
              <w:rPr>
                <w:rFonts w:ascii="Arial" w:hAnsi="Arial" w:cs="Arial"/>
                <w:sz w:val="18"/>
                <w:szCs w:val="18"/>
                <w:lang w:val="en-US"/>
              </w:rPr>
              <w:t>up to the decision on the merits, both as regards compensation and reinstatement.</w:t>
            </w:r>
          </w:p>
          <w:p w14:paraId="5294C102" w14:textId="77777777" w:rsidR="00810597" w:rsidRPr="0068181C" w:rsidRDefault="00810597" w:rsidP="00810597">
            <w:pPr>
              <w:spacing w:after="160" w:line="259" w:lineRule="auto"/>
              <w:rPr>
                <w:rFonts w:ascii="Arial" w:hAnsi="Arial" w:cs="Arial"/>
                <w:sz w:val="18"/>
                <w:szCs w:val="18"/>
                <w:lang w:val="en-US"/>
              </w:rPr>
            </w:pPr>
          </w:p>
          <w:p w14:paraId="2FBD4B82" w14:textId="77777777" w:rsidR="00810597" w:rsidRPr="0068181C" w:rsidRDefault="00810597" w:rsidP="00810597">
            <w:pPr>
              <w:spacing w:after="160" w:line="259" w:lineRule="auto"/>
              <w:rPr>
                <w:rFonts w:ascii="Arial" w:hAnsi="Arial" w:cs="Arial"/>
                <w:sz w:val="18"/>
                <w:szCs w:val="18"/>
                <w:lang w:val="en-US"/>
              </w:rPr>
            </w:pPr>
          </w:p>
        </w:tc>
      </w:tr>
      <w:tr w:rsidR="00810597" w:rsidRPr="00414B7C" w14:paraId="63648FF0" w14:textId="77777777" w:rsidTr="00004F15">
        <w:tc>
          <w:tcPr>
            <w:tcW w:w="2728" w:type="dxa"/>
          </w:tcPr>
          <w:p w14:paraId="73A77F21" w14:textId="0FAA3CAD" w:rsidR="00810597" w:rsidRPr="0068181C" w:rsidRDefault="00810597" w:rsidP="00810597">
            <w:pPr>
              <w:spacing w:after="160" w:line="259" w:lineRule="auto"/>
              <w:rPr>
                <w:rFonts w:ascii="Arial" w:hAnsi="Arial" w:cs="Arial"/>
                <w:sz w:val="18"/>
                <w:szCs w:val="18"/>
                <w:lang w:val="en-US"/>
              </w:rPr>
            </w:pPr>
            <w:r w:rsidRPr="0068181C">
              <w:rPr>
                <w:rFonts w:ascii="Arial" w:hAnsi="Arial" w:cs="Arial"/>
                <w:b/>
                <w:bCs/>
                <w:sz w:val="18"/>
                <w:szCs w:val="18"/>
                <w:lang w:val="en-US"/>
              </w:rPr>
              <w:t>Finnish Society of Social Rights v. Finland</w:t>
            </w:r>
            <w:r w:rsidRPr="0068181C">
              <w:rPr>
                <w:rFonts w:ascii="Arial" w:hAnsi="Arial" w:cs="Arial"/>
                <w:sz w:val="18"/>
                <w:szCs w:val="18"/>
                <w:lang w:val="en-US"/>
              </w:rPr>
              <w:t xml:space="preserve"> (</w:t>
            </w:r>
            <w:r w:rsidR="00414B7C">
              <w:fldChar w:fldCharType="begin"/>
            </w:r>
            <w:r w:rsidR="00414B7C" w:rsidRPr="00414B7C">
              <w:rPr>
                <w:lang w:val="en-GB"/>
              </w:rPr>
              <w:instrText xml:space="preserve"> HYPERLINK "https://www.coe.int/en/web/european-social-charter/processed-complaints/-/asset_publisher/5GEFkJmH2bYG/content/no-108-2014-finnish-society-of-social-rights-</w:instrText>
            </w:r>
            <w:r w:rsidR="00414B7C" w:rsidRPr="00414B7C">
              <w:rPr>
                <w:lang w:val="en-GB"/>
              </w:rPr>
              <w:instrText>v-finland?inheritRedirect=false&amp;redirect=https%3A%2F%2Fwww.coe.int%2Fen%2Fweb%2Feuropean-social-charter%2Fprocessed-complaints%3Fp_p_id%3D101_INSTANCE_5GEFkJmH2bYG%26p_p_lifecycle%3D0%26p_p_state%3Dnormal%26p_p_mode%3Dview%26p_p_col_id%3Dcolumn-4%26p_p_col</w:instrText>
            </w:r>
            <w:r w:rsidR="00414B7C" w:rsidRPr="00414B7C">
              <w:rPr>
                <w:lang w:val="en-GB"/>
              </w:rPr>
              <w:instrText xml:space="preserve">_count%3D1%26p_r_p_564233524_resetCur%3Dtrue%26p_r_p_564233524_categoryId%3D28547786" </w:instrText>
            </w:r>
            <w:r w:rsidR="00414B7C">
              <w:fldChar w:fldCharType="separate"/>
            </w:r>
            <w:r w:rsidR="00277788" w:rsidRPr="0068181C">
              <w:rPr>
                <w:rFonts w:ascii="Arial" w:hAnsi="Arial" w:cs="Arial"/>
                <w:sz w:val="18"/>
                <w:szCs w:val="18"/>
                <w:lang w:val="en-US"/>
              </w:rPr>
              <w:t>complaint</w:t>
            </w:r>
            <w:r w:rsidRPr="0068181C">
              <w:rPr>
                <w:rStyle w:val="Hyperlinkki"/>
                <w:rFonts w:ascii="Arial" w:hAnsi="Arial" w:cs="Arial"/>
                <w:sz w:val="18"/>
                <w:szCs w:val="18"/>
                <w:lang w:val="en-US"/>
              </w:rPr>
              <w:t xml:space="preserve"> no. 108/2014</w:t>
            </w:r>
            <w:r w:rsidR="00414B7C">
              <w:rPr>
                <w:rStyle w:val="Hyperlinkki"/>
                <w:rFonts w:ascii="Arial" w:hAnsi="Arial" w:cs="Arial"/>
                <w:sz w:val="18"/>
                <w:szCs w:val="18"/>
                <w:lang w:val="en-US"/>
              </w:rPr>
              <w:fldChar w:fldCharType="end"/>
            </w:r>
            <w:r w:rsidRPr="0068181C">
              <w:rPr>
                <w:rFonts w:ascii="Arial" w:hAnsi="Arial" w:cs="Arial"/>
                <w:sz w:val="18"/>
                <w:szCs w:val="18"/>
                <w:lang w:val="en-US"/>
              </w:rPr>
              <w:t>)</w:t>
            </w:r>
          </w:p>
          <w:p w14:paraId="7BC50AEC" w14:textId="77777777" w:rsidR="00810597" w:rsidRPr="0068181C" w:rsidRDefault="00810597" w:rsidP="00810597">
            <w:pPr>
              <w:spacing w:after="160" w:line="259" w:lineRule="auto"/>
              <w:rPr>
                <w:rFonts w:ascii="Arial" w:hAnsi="Arial" w:cs="Arial"/>
                <w:sz w:val="18"/>
                <w:szCs w:val="18"/>
                <w:lang w:val="en-US"/>
              </w:rPr>
            </w:pPr>
          </w:p>
          <w:p w14:paraId="5140FC57" w14:textId="581F8B22" w:rsidR="00810597" w:rsidRPr="0068181C" w:rsidRDefault="00103C1E" w:rsidP="00810597">
            <w:pPr>
              <w:spacing w:after="160" w:line="259" w:lineRule="auto"/>
              <w:rPr>
                <w:rFonts w:ascii="Arial" w:hAnsi="Arial" w:cs="Arial"/>
                <w:sz w:val="18"/>
                <w:szCs w:val="18"/>
                <w:lang w:val="en-US"/>
              </w:rPr>
            </w:pPr>
            <w:r w:rsidRPr="007B3429">
              <w:rPr>
                <w:rFonts w:ascii="Arial" w:hAnsi="Arial" w:cs="Arial"/>
                <w:sz w:val="18"/>
                <w:szCs w:val="18"/>
                <w:lang w:val="en-US"/>
              </w:rPr>
              <w:t>3</w:t>
            </w:r>
            <w:r w:rsidRPr="007B3429">
              <w:rPr>
                <w:rFonts w:ascii="Arial" w:hAnsi="Arial" w:cs="Arial"/>
                <w:sz w:val="18"/>
                <w:szCs w:val="18"/>
                <w:vertAlign w:val="superscript"/>
                <w:lang w:val="en-US"/>
              </w:rPr>
              <w:t>rd</w:t>
            </w:r>
            <w:r w:rsidRPr="007B3429">
              <w:rPr>
                <w:rFonts w:ascii="Arial" w:hAnsi="Arial" w:cs="Arial"/>
                <w:sz w:val="18"/>
                <w:szCs w:val="18"/>
                <w:lang w:val="en-US"/>
              </w:rPr>
              <w:t xml:space="preserve"> </w:t>
            </w:r>
            <w:r w:rsidR="00B958A6" w:rsidRPr="007B3429">
              <w:rPr>
                <w:rFonts w:ascii="Arial" w:hAnsi="Arial" w:cs="Arial"/>
                <w:sz w:val="18"/>
                <w:szCs w:val="18"/>
                <w:lang w:val="en-US"/>
              </w:rPr>
              <w:t>assessment of the ECSR of the follow</w:t>
            </w:r>
            <w:r w:rsidR="00055F7E" w:rsidRPr="007B3429">
              <w:rPr>
                <w:rFonts w:ascii="Arial" w:hAnsi="Arial" w:cs="Arial"/>
                <w:sz w:val="18"/>
                <w:szCs w:val="18"/>
                <w:lang w:val="en-US"/>
              </w:rPr>
              <w:t>-</w:t>
            </w:r>
            <w:r w:rsidR="00B958A6" w:rsidRPr="007B3429">
              <w:rPr>
                <w:rFonts w:ascii="Arial" w:hAnsi="Arial" w:cs="Arial"/>
                <w:sz w:val="18"/>
                <w:szCs w:val="18"/>
                <w:lang w:val="en-US"/>
              </w:rPr>
              <w:t>up from 202</w:t>
            </w:r>
            <w:r w:rsidRPr="007B3429">
              <w:rPr>
                <w:rFonts w:ascii="Arial" w:hAnsi="Arial" w:cs="Arial"/>
                <w:sz w:val="18"/>
                <w:szCs w:val="18"/>
                <w:lang w:val="en-US"/>
              </w:rPr>
              <w:t>1</w:t>
            </w:r>
            <w:r w:rsidR="0056012F">
              <w:rPr>
                <w:rFonts w:ascii="Arial" w:hAnsi="Arial" w:cs="Arial"/>
                <w:sz w:val="18"/>
                <w:szCs w:val="18"/>
                <w:lang w:val="en-US"/>
              </w:rPr>
              <w:t>.</w:t>
            </w:r>
          </w:p>
        </w:tc>
        <w:tc>
          <w:tcPr>
            <w:tcW w:w="1945" w:type="dxa"/>
          </w:tcPr>
          <w:p w14:paraId="451D7224" w14:textId="449204BD" w:rsidR="00810597" w:rsidRPr="0068181C" w:rsidRDefault="00810597" w:rsidP="00810597">
            <w:pPr>
              <w:spacing w:after="160" w:line="259" w:lineRule="auto"/>
              <w:rPr>
                <w:rFonts w:ascii="Arial" w:hAnsi="Arial" w:cs="Arial"/>
                <w:sz w:val="18"/>
                <w:szCs w:val="18"/>
                <w:lang w:val="en-US"/>
              </w:rPr>
            </w:pPr>
            <w:r w:rsidRPr="0068181C">
              <w:rPr>
                <w:rFonts w:ascii="Arial" w:hAnsi="Arial" w:cs="Arial"/>
                <w:sz w:val="18"/>
                <w:szCs w:val="18"/>
                <w:lang w:val="en-US"/>
              </w:rPr>
              <w:t>8</w:t>
            </w:r>
            <w:r w:rsidR="00277788" w:rsidRPr="0068181C">
              <w:rPr>
                <w:rFonts w:ascii="Arial" w:hAnsi="Arial" w:cs="Arial"/>
                <w:sz w:val="18"/>
                <w:szCs w:val="18"/>
                <w:lang w:val="en-US"/>
              </w:rPr>
              <w:t xml:space="preserve"> December </w:t>
            </w:r>
            <w:r w:rsidRPr="0068181C">
              <w:rPr>
                <w:rFonts w:ascii="Arial" w:hAnsi="Arial" w:cs="Arial"/>
                <w:sz w:val="18"/>
                <w:szCs w:val="18"/>
                <w:lang w:val="en-US"/>
              </w:rPr>
              <w:t>2016</w:t>
            </w:r>
          </w:p>
        </w:tc>
        <w:tc>
          <w:tcPr>
            <w:tcW w:w="2410" w:type="dxa"/>
          </w:tcPr>
          <w:p w14:paraId="15B0B56F" w14:textId="7CFAB0BB" w:rsidR="00810597" w:rsidRPr="0068181C" w:rsidRDefault="0080320A" w:rsidP="00810597">
            <w:pPr>
              <w:spacing w:after="160" w:line="259" w:lineRule="auto"/>
              <w:rPr>
                <w:rFonts w:ascii="Arial" w:hAnsi="Arial" w:cs="Arial"/>
                <w:sz w:val="18"/>
                <w:szCs w:val="18"/>
                <w:lang w:val="en-US"/>
              </w:rPr>
            </w:pPr>
            <w:r w:rsidRPr="0068181C">
              <w:rPr>
                <w:rFonts w:ascii="Arial" w:hAnsi="Arial" w:cs="Arial"/>
                <w:sz w:val="18"/>
                <w:szCs w:val="18"/>
                <w:lang w:val="en-US"/>
              </w:rPr>
              <w:t>The Committee of Social Rights has found a violation, which has not yet been remedied.</w:t>
            </w:r>
          </w:p>
        </w:tc>
        <w:tc>
          <w:tcPr>
            <w:tcW w:w="3402" w:type="dxa"/>
          </w:tcPr>
          <w:p w14:paraId="372D1B72" w14:textId="744034DF" w:rsidR="00810597" w:rsidRPr="0068181C" w:rsidRDefault="00507778" w:rsidP="00810597">
            <w:pPr>
              <w:spacing w:after="160" w:line="259" w:lineRule="auto"/>
              <w:rPr>
                <w:rFonts w:ascii="Arial" w:hAnsi="Arial" w:cs="Arial"/>
                <w:sz w:val="18"/>
                <w:szCs w:val="18"/>
                <w:lang w:val="en-US"/>
              </w:rPr>
            </w:pPr>
            <w:r w:rsidRPr="0068181C">
              <w:rPr>
                <w:rFonts w:ascii="Arial" w:hAnsi="Arial" w:cs="Arial"/>
                <w:sz w:val="18"/>
                <w:szCs w:val="18"/>
                <w:lang w:val="en-US"/>
              </w:rPr>
              <w:t>The ECSR found a violation of</w:t>
            </w:r>
            <w:r w:rsidRPr="0068181C">
              <w:rPr>
                <w:rFonts w:ascii="Arial" w:hAnsi="Arial" w:cs="Arial"/>
                <w:b/>
                <w:bCs/>
                <w:sz w:val="18"/>
                <w:szCs w:val="18"/>
                <w:lang w:val="en-US"/>
              </w:rPr>
              <w:t xml:space="preserve"> A</w:t>
            </w:r>
            <w:r w:rsidR="00810597" w:rsidRPr="0068181C">
              <w:rPr>
                <w:rFonts w:ascii="Arial" w:hAnsi="Arial" w:cs="Arial"/>
                <w:b/>
                <w:bCs/>
                <w:sz w:val="18"/>
                <w:szCs w:val="18"/>
                <w:lang w:val="en-US"/>
              </w:rPr>
              <w:t>rti</w:t>
            </w:r>
            <w:r w:rsidRPr="0068181C">
              <w:rPr>
                <w:rFonts w:ascii="Arial" w:hAnsi="Arial" w:cs="Arial"/>
                <w:b/>
                <w:bCs/>
                <w:sz w:val="18"/>
                <w:szCs w:val="18"/>
                <w:lang w:val="en-US"/>
              </w:rPr>
              <w:t>c</w:t>
            </w:r>
            <w:r w:rsidR="00810597" w:rsidRPr="0068181C">
              <w:rPr>
                <w:rFonts w:ascii="Arial" w:hAnsi="Arial" w:cs="Arial"/>
                <w:b/>
                <w:bCs/>
                <w:sz w:val="18"/>
                <w:szCs w:val="18"/>
                <w:lang w:val="en-US"/>
              </w:rPr>
              <w:t>l</w:t>
            </w:r>
            <w:r w:rsidRPr="0068181C">
              <w:rPr>
                <w:rFonts w:ascii="Arial" w:hAnsi="Arial" w:cs="Arial"/>
                <w:b/>
                <w:bCs/>
                <w:sz w:val="18"/>
                <w:szCs w:val="18"/>
                <w:lang w:val="en-US"/>
              </w:rPr>
              <w:t>e</w:t>
            </w:r>
            <w:r w:rsidR="00810597" w:rsidRPr="0068181C">
              <w:rPr>
                <w:rFonts w:ascii="Arial" w:hAnsi="Arial" w:cs="Arial"/>
                <w:b/>
                <w:bCs/>
                <w:sz w:val="18"/>
                <w:szCs w:val="18"/>
                <w:lang w:val="en-US"/>
              </w:rPr>
              <w:t xml:space="preserve"> 13</w:t>
            </w:r>
            <w:r w:rsidR="00810597" w:rsidRPr="0068181C">
              <w:rPr>
                <w:rFonts w:ascii="Arial" w:hAnsi="Arial" w:cs="Arial"/>
                <w:sz w:val="18"/>
                <w:szCs w:val="18"/>
                <w:lang w:val="en-US"/>
              </w:rPr>
              <w:t xml:space="preserve"> </w:t>
            </w:r>
            <w:r w:rsidRPr="0068181C">
              <w:rPr>
                <w:rFonts w:ascii="Arial" w:hAnsi="Arial" w:cs="Arial"/>
                <w:sz w:val="18"/>
                <w:szCs w:val="18"/>
                <w:lang w:val="en-US"/>
              </w:rPr>
              <w:t xml:space="preserve">on the ground that the level of the </w:t>
            </w:r>
            <w:proofErr w:type="spellStart"/>
            <w:r w:rsidRPr="0068181C">
              <w:rPr>
                <w:rFonts w:ascii="Arial" w:hAnsi="Arial" w:cs="Arial"/>
                <w:sz w:val="18"/>
                <w:szCs w:val="18"/>
                <w:lang w:val="en-US"/>
              </w:rPr>
              <w:t>labour</w:t>
            </w:r>
            <w:proofErr w:type="spellEnd"/>
            <w:r w:rsidRPr="0068181C">
              <w:rPr>
                <w:rFonts w:ascii="Arial" w:hAnsi="Arial" w:cs="Arial"/>
                <w:sz w:val="18"/>
                <w:szCs w:val="18"/>
                <w:lang w:val="en-US"/>
              </w:rPr>
              <w:t xml:space="preserve"> market subsidy, even in its combination with other benefits such as housing allowance and social assistance to cover excess housing cost, was not sufficient to enable its beneficiaries to meet their basic needs.</w:t>
            </w:r>
            <w:r w:rsidRPr="0068181C">
              <w:rPr>
                <w:sz w:val="18"/>
                <w:szCs w:val="18"/>
                <w:lang w:val="en-US"/>
              </w:rPr>
              <w:t xml:space="preserve"> </w:t>
            </w:r>
            <w:r w:rsidRPr="0068181C">
              <w:rPr>
                <w:rFonts w:ascii="Arial" w:hAnsi="Arial" w:cs="Arial"/>
                <w:sz w:val="18"/>
                <w:szCs w:val="18"/>
                <w:lang w:val="en-US"/>
              </w:rPr>
              <w:t xml:space="preserve">According to the Government different allowances </w:t>
            </w:r>
            <w:proofErr w:type="gramStart"/>
            <w:r w:rsidRPr="0068181C">
              <w:rPr>
                <w:rFonts w:ascii="Arial" w:hAnsi="Arial" w:cs="Arial"/>
                <w:sz w:val="18"/>
                <w:szCs w:val="18"/>
                <w:lang w:val="en-US"/>
              </w:rPr>
              <w:t>combined together</w:t>
            </w:r>
            <w:proofErr w:type="gramEnd"/>
            <w:r w:rsidRPr="0068181C">
              <w:rPr>
                <w:rFonts w:ascii="Arial" w:hAnsi="Arial" w:cs="Arial"/>
                <w:sz w:val="18"/>
                <w:szCs w:val="18"/>
                <w:lang w:val="en-US"/>
              </w:rPr>
              <w:t xml:space="preserve"> enable </w:t>
            </w:r>
            <w:r w:rsidR="00F61F0C" w:rsidRPr="0068181C">
              <w:rPr>
                <w:rFonts w:ascii="Arial" w:hAnsi="Arial" w:cs="Arial"/>
                <w:sz w:val="18"/>
                <w:szCs w:val="18"/>
                <w:lang w:val="en-US"/>
              </w:rPr>
              <w:t xml:space="preserve">basic income. For instance, the housing allowance system was reformed in 2015 by reducing deductions </w:t>
            </w:r>
            <w:proofErr w:type="gramStart"/>
            <w:r w:rsidR="00F61F0C" w:rsidRPr="0068181C">
              <w:rPr>
                <w:rFonts w:ascii="Arial" w:hAnsi="Arial" w:cs="Arial"/>
                <w:sz w:val="18"/>
                <w:szCs w:val="18"/>
                <w:lang w:val="en-US"/>
              </w:rPr>
              <w:t>taken into account</w:t>
            </w:r>
            <w:proofErr w:type="gramEnd"/>
            <w:r w:rsidR="00F61F0C" w:rsidRPr="0068181C">
              <w:rPr>
                <w:rFonts w:ascii="Arial" w:hAnsi="Arial" w:cs="Arial"/>
                <w:sz w:val="18"/>
                <w:szCs w:val="18"/>
                <w:lang w:val="en-US"/>
              </w:rPr>
              <w:t xml:space="preserve"> in counting the amount of the allowance.</w:t>
            </w:r>
          </w:p>
        </w:tc>
        <w:tc>
          <w:tcPr>
            <w:tcW w:w="3509" w:type="dxa"/>
          </w:tcPr>
          <w:p w14:paraId="48C3B276" w14:textId="77777777" w:rsidR="00F61F0C" w:rsidRPr="0068181C" w:rsidRDefault="00F61F0C" w:rsidP="00F61F0C">
            <w:pPr>
              <w:rPr>
                <w:rFonts w:ascii="Arial" w:hAnsi="Arial" w:cs="Arial"/>
                <w:sz w:val="18"/>
                <w:szCs w:val="18"/>
                <w:lang w:val="en-US"/>
              </w:rPr>
            </w:pPr>
            <w:r w:rsidRPr="0068181C">
              <w:rPr>
                <w:rFonts w:ascii="Arial" w:hAnsi="Arial" w:cs="Arial"/>
                <w:sz w:val="18"/>
                <w:szCs w:val="18"/>
                <w:lang w:val="en-US"/>
              </w:rPr>
              <w:t>The Committee considers that it has not been demonstrated that action has been</w:t>
            </w:r>
          </w:p>
          <w:p w14:paraId="16A228AB" w14:textId="77777777" w:rsidR="00F61F0C" w:rsidRPr="0068181C" w:rsidRDefault="00F61F0C" w:rsidP="00F61F0C">
            <w:pPr>
              <w:rPr>
                <w:rFonts w:ascii="Arial" w:hAnsi="Arial" w:cs="Arial"/>
                <w:sz w:val="18"/>
                <w:szCs w:val="18"/>
                <w:lang w:val="en-US"/>
              </w:rPr>
            </w:pPr>
            <w:r w:rsidRPr="0068181C">
              <w:rPr>
                <w:rFonts w:ascii="Arial" w:hAnsi="Arial" w:cs="Arial"/>
                <w:sz w:val="18"/>
                <w:szCs w:val="18"/>
                <w:lang w:val="en-US"/>
              </w:rPr>
              <w:t xml:space="preserve">taken to bring the </w:t>
            </w:r>
            <w:proofErr w:type="spellStart"/>
            <w:r w:rsidRPr="0068181C">
              <w:rPr>
                <w:rFonts w:ascii="Arial" w:hAnsi="Arial" w:cs="Arial"/>
                <w:sz w:val="18"/>
                <w:szCs w:val="18"/>
                <w:lang w:val="en-US"/>
              </w:rPr>
              <w:t>labour</w:t>
            </w:r>
            <w:proofErr w:type="spellEnd"/>
            <w:r w:rsidRPr="0068181C">
              <w:rPr>
                <w:rFonts w:ascii="Arial" w:hAnsi="Arial" w:cs="Arial"/>
                <w:sz w:val="18"/>
                <w:szCs w:val="18"/>
                <w:lang w:val="en-US"/>
              </w:rPr>
              <w:t xml:space="preserve"> market subsidy to an adequate level whether alone or in</w:t>
            </w:r>
          </w:p>
          <w:p w14:paraId="2B11720E" w14:textId="0211684E" w:rsidR="00810597" w:rsidRPr="0068181C" w:rsidRDefault="00F61F0C" w:rsidP="00103C1E">
            <w:pPr>
              <w:rPr>
                <w:rFonts w:ascii="Arial" w:hAnsi="Arial" w:cs="Arial"/>
                <w:sz w:val="18"/>
                <w:szCs w:val="18"/>
                <w:lang w:val="en-US"/>
              </w:rPr>
            </w:pPr>
            <w:r w:rsidRPr="0068181C">
              <w:rPr>
                <w:rFonts w:ascii="Arial" w:hAnsi="Arial" w:cs="Arial"/>
                <w:sz w:val="18"/>
                <w:szCs w:val="18"/>
                <w:lang w:val="en-US"/>
              </w:rPr>
              <w:t>combination with the housing allowance. Nor has the Government shown that the effect of allowances combined is sufficient to decisively improve the situation</w:t>
            </w:r>
            <w:r w:rsidR="00103C1E">
              <w:rPr>
                <w:rFonts w:ascii="Arial" w:hAnsi="Arial" w:cs="Arial"/>
                <w:sz w:val="18"/>
                <w:szCs w:val="18"/>
                <w:lang w:val="en-US"/>
              </w:rPr>
              <w:t xml:space="preserve"> </w:t>
            </w:r>
            <w:r w:rsidRPr="0068181C">
              <w:rPr>
                <w:rFonts w:ascii="Arial" w:hAnsi="Arial" w:cs="Arial"/>
                <w:sz w:val="18"/>
                <w:szCs w:val="18"/>
                <w:lang w:val="en-US"/>
              </w:rPr>
              <w:t xml:space="preserve">for all the recipients of </w:t>
            </w:r>
            <w:proofErr w:type="spellStart"/>
            <w:r w:rsidRPr="0068181C">
              <w:rPr>
                <w:rFonts w:ascii="Arial" w:hAnsi="Arial" w:cs="Arial"/>
                <w:sz w:val="18"/>
                <w:szCs w:val="18"/>
                <w:lang w:val="en-US"/>
              </w:rPr>
              <w:t>labour</w:t>
            </w:r>
            <w:proofErr w:type="spellEnd"/>
            <w:r w:rsidRPr="0068181C">
              <w:rPr>
                <w:rFonts w:ascii="Arial" w:hAnsi="Arial" w:cs="Arial"/>
                <w:sz w:val="18"/>
                <w:szCs w:val="18"/>
                <w:lang w:val="en-US"/>
              </w:rPr>
              <w:t xml:space="preserve"> market subsidy concerned.</w:t>
            </w:r>
            <w:r w:rsidR="00810597" w:rsidRPr="0068181C">
              <w:rPr>
                <w:rFonts w:ascii="Arial" w:hAnsi="Arial" w:cs="Arial"/>
                <w:sz w:val="18"/>
                <w:szCs w:val="18"/>
                <w:lang w:val="en-US"/>
              </w:rPr>
              <w:t xml:space="preserve"> </w:t>
            </w:r>
          </w:p>
          <w:p w14:paraId="5751422D" w14:textId="77777777" w:rsidR="00810597" w:rsidRPr="0068181C" w:rsidRDefault="00810597" w:rsidP="00810597">
            <w:pPr>
              <w:spacing w:after="160" w:line="259" w:lineRule="auto"/>
              <w:rPr>
                <w:rFonts w:ascii="Arial" w:hAnsi="Arial" w:cs="Arial"/>
                <w:sz w:val="18"/>
                <w:szCs w:val="18"/>
                <w:lang w:val="en-US"/>
              </w:rPr>
            </w:pPr>
          </w:p>
        </w:tc>
      </w:tr>
      <w:tr w:rsidR="00810597" w:rsidRPr="00414B7C" w14:paraId="62767140" w14:textId="77777777" w:rsidTr="00004F15">
        <w:tc>
          <w:tcPr>
            <w:tcW w:w="2728" w:type="dxa"/>
          </w:tcPr>
          <w:p w14:paraId="23F2D0FE" w14:textId="1E09D688" w:rsidR="00810597" w:rsidRPr="0068181C" w:rsidRDefault="00810597" w:rsidP="00810597">
            <w:pPr>
              <w:spacing w:after="160" w:line="259" w:lineRule="auto"/>
              <w:rPr>
                <w:rFonts w:ascii="Arial" w:hAnsi="Arial" w:cs="Arial"/>
                <w:sz w:val="18"/>
                <w:szCs w:val="18"/>
                <w:lang w:val="en-US"/>
              </w:rPr>
            </w:pPr>
            <w:r w:rsidRPr="0068181C">
              <w:rPr>
                <w:rFonts w:ascii="Arial" w:hAnsi="Arial" w:cs="Arial"/>
                <w:b/>
                <w:bCs/>
                <w:sz w:val="18"/>
                <w:szCs w:val="18"/>
                <w:lang w:val="en-US"/>
              </w:rPr>
              <w:lastRenderedPageBreak/>
              <w:t>University Women of Europe (UWE) v. Finland</w:t>
            </w:r>
            <w:r w:rsidR="00BD64A2">
              <w:rPr>
                <w:rStyle w:val="Alaviitteenviite"/>
                <w:rFonts w:ascii="Arial" w:hAnsi="Arial" w:cs="Arial"/>
                <w:b/>
                <w:bCs/>
                <w:sz w:val="18"/>
                <w:szCs w:val="18"/>
                <w:lang w:val="en-US"/>
              </w:rPr>
              <w:footnoteReference w:id="2"/>
            </w:r>
            <w:r w:rsidRPr="0068181C">
              <w:rPr>
                <w:rFonts w:ascii="Arial" w:hAnsi="Arial" w:cs="Arial"/>
                <w:sz w:val="18"/>
                <w:szCs w:val="18"/>
                <w:lang w:val="en-US"/>
              </w:rPr>
              <w:t xml:space="preserve"> (</w:t>
            </w:r>
            <w:r w:rsidR="00414B7C">
              <w:fldChar w:fldCharType="begin"/>
            </w:r>
            <w:r w:rsidR="00414B7C" w:rsidRPr="00414B7C">
              <w:rPr>
                <w:lang w:val="en-GB"/>
              </w:rPr>
              <w:instrText xml:space="preserve"> HYPERLINK "https://www.coe.int/en/web/european-social-charter/processed-complaints/-/asset_publisher/5GEFkJmH2bYG/content/no-129-2016-university-women-of-europe-uwe-v-finland?inheritRedirect=false&amp;redirect=https%3A%2F%2Fwww.coe.int%2Fen%2Fweb%2Feuropean-s</w:instrText>
            </w:r>
            <w:r w:rsidR="00414B7C" w:rsidRPr="00414B7C">
              <w:rPr>
                <w:lang w:val="en-GB"/>
              </w:rPr>
              <w:instrText>ocial-charter%2Fprocessed-complaints%3Fp_p_id%3D101_INSTANCE_5GEFkJmH2bYG%26p_p_lifecycle%3D0%26p_p_state%3Dnormal%26p_p_mode%3Dview%26p_p_col_id%3Dcolumn-4%26p_p_col_count%3D1%26_101_INSTANCE_5GEFkJmH2bYG_currentURL%3D%252Fen%252Fweb%252Feuropean-social-c</w:instrText>
            </w:r>
            <w:r w:rsidR="00414B7C" w:rsidRPr="00414B7C">
              <w:rPr>
                <w:lang w:val="en-GB"/>
              </w:rPr>
              <w:instrText xml:space="preserve">harter%252Fprocessed-complaints%26p_r_p_564233524_resetCur%3Dtrue%26p_r_p_564233524_categoryId%3D28547786" </w:instrText>
            </w:r>
            <w:r w:rsidR="00414B7C">
              <w:fldChar w:fldCharType="separate"/>
            </w:r>
            <w:r w:rsidR="00277788" w:rsidRPr="0068181C">
              <w:rPr>
                <w:rFonts w:ascii="Arial" w:hAnsi="Arial" w:cs="Arial"/>
                <w:sz w:val="18"/>
                <w:szCs w:val="18"/>
                <w:lang w:val="en-US"/>
              </w:rPr>
              <w:t xml:space="preserve">complaint </w:t>
            </w:r>
            <w:r w:rsidRPr="0068181C">
              <w:rPr>
                <w:rStyle w:val="Hyperlinkki"/>
                <w:rFonts w:ascii="Arial" w:hAnsi="Arial" w:cs="Arial"/>
                <w:sz w:val="18"/>
                <w:szCs w:val="18"/>
                <w:lang w:val="en-US"/>
              </w:rPr>
              <w:t>no. 129/2016</w:t>
            </w:r>
            <w:r w:rsidR="00414B7C">
              <w:rPr>
                <w:rStyle w:val="Hyperlinkki"/>
                <w:rFonts w:ascii="Arial" w:hAnsi="Arial" w:cs="Arial"/>
                <w:sz w:val="18"/>
                <w:szCs w:val="18"/>
                <w:lang w:val="en-US"/>
              </w:rPr>
              <w:fldChar w:fldCharType="end"/>
            </w:r>
            <w:r w:rsidRPr="0068181C">
              <w:rPr>
                <w:rFonts w:ascii="Arial" w:hAnsi="Arial" w:cs="Arial"/>
                <w:sz w:val="18"/>
                <w:szCs w:val="18"/>
                <w:lang w:val="en-US"/>
              </w:rPr>
              <w:t>)</w:t>
            </w:r>
          </w:p>
          <w:p w14:paraId="35485BD8" w14:textId="77777777" w:rsidR="00810597" w:rsidRPr="0068181C" w:rsidRDefault="00810597" w:rsidP="00810597">
            <w:pPr>
              <w:spacing w:after="160" w:line="259" w:lineRule="auto"/>
              <w:rPr>
                <w:rFonts w:ascii="Arial" w:hAnsi="Arial" w:cs="Arial"/>
                <w:sz w:val="18"/>
                <w:szCs w:val="18"/>
                <w:lang w:val="en-US"/>
              </w:rPr>
            </w:pPr>
          </w:p>
          <w:p w14:paraId="33F83075" w14:textId="172451B7" w:rsidR="00810597" w:rsidRPr="000A118E" w:rsidRDefault="000A118E" w:rsidP="000A118E">
            <w:pPr>
              <w:rPr>
                <w:rFonts w:ascii="Arial" w:hAnsi="Arial" w:cs="Arial"/>
                <w:sz w:val="18"/>
                <w:szCs w:val="18"/>
                <w:lang w:val="en-US"/>
              </w:rPr>
            </w:pPr>
            <w:r w:rsidRPr="000A118E">
              <w:rPr>
                <w:rFonts w:ascii="Arial" w:hAnsi="Arial" w:cs="Arial"/>
                <w:sz w:val="18"/>
                <w:szCs w:val="18"/>
                <w:lang w:val="en-US"/>
              </w:rPr>
              <w:t>-</w:t>
            </w:r>
            <w:r>
              <w:rPr>
                <w:rFonts w:ascii="Arial" w:hAnsi="Arial" w:cs="Arial"/>
                <w:sz w:val="18"/>
                <w:szCs w:val="18"/>
                <w:lang w:val="en-US"/>
              </w:rPr>
              <w:t xml:space="preserve"> R</w:t>
            </w:r>
            <w:r w:rsidR="00B958A6" w:rsidRPr="000A118E">
              <w:rPr>
                <w:rFonts w:ascii="Arial" w:hAnsi="Arial" w:cs="Arial"/>
                <w:sz w:val="18"/>
                <w:szCs w:val="18"/>
                <w:lang w:val="en-US"/>
              </w:rPr>
              <w:t>ecommendation of the CM</w:t>
            </w:r>
            <w:r w:rsidR="00810597" w:rsidRPr="000A118E">
              <w:rPr>
                <w:rFonts w:ascii="Arial" w:hAnsi="Arial" w:cs="Arial"/>
                <w:sz w:val="18"/>
                <w:szCs w:val="18"/>
                <w:lang w:val="en-US"/>
              </w:rPr>
              <w:t xml:space="preserve"> </w:t>
            </w:r>
            <w:hyperlink r:id="rId8" w:history="1">
              <w:r w:rsidR="00810597" w:rsidRPr="000A118E">
                <w:rPr>
                  <w:rStyle w:val="Hyperlinkki"/>
                  <w:rFonts w:ascii="Arial" w:hAnsi="Arial" w:cs="Arial"/>
                  <w:sz w:val="18"/>
                  <w:szCs w:val="18"/>
                  <w:lang w:val="en-US"/>
                </w:rPr>
                <w:t>CM/</w:t>
              </w:r>
              <w:proofErr w:type="spellStart"/>
              <w:proofErr w:type="gramStart"/>
              <w:r w:rsidR="00810597" w:rsidRPr="000A118E">
                <w:rPr>
                  <w:rStyle w:val="Hyperlinkki"/>
                  <w:rFonts w:ascii="Arial" w:hAnsi="Arial" w:cs="Arial"/>
                  <w:sz w:val="18"/>
                  <w:szCs w:val="18"/>
                  <w:lang w:val="en-US"/>
                </w:rPr>
                <w:t>RecChS</w:t>
              </w:r>
              <w:proofErr w:type="spellEnd"/>
              <w:r w:rsidR="00810597" w:rsidRPr="000A118E">
                <w:rPr>
                  <w:rStyle w:val="Hyperlinkki"/>
                  <w:rFonts w:ascii="Arial" w:hAnsi="Arial" w:cs="Arial"/>
                  <w:sz w:val="18"/>
                  <w:szCs w:val="18"/>
                  <w:lang w:val="en-US"/>
                </w:rPr>
                <w:t>(</w:t>
              </w:r>
              <w:proofErr w:type="gramEnd"/>
              <w:r w:rsidR="00810597" w:rsidRPr="000A118E">
                <w:rPr>
                  <w:rStyle w:val="Hyperlinkki"/>
                  <w:rFonts w:ascii="Arial" w:hAnsi="Arial" w:cs="Arial"/>
                  <w:sz w:val="18"/>
                  <w:szCs w:val="18"/>
                  <w:lang w:val="en-US"/>
                </w:rPr>
                <w:t>2021)6</w:t>
              </w:r>
            </w:hyperlink>
            <w:r w:rsidR="00810597" w:rsidRPr="000A118E">
              <w:rPr>
                <w:rFonts w:ascii="Arial" w:hAnsi="Arial" w:cs="Arial"/>
                <w:sz w:val="18"/>
                <w:szCs w:val="18"/>
                <w:lang w:val="en-US"/>
              </w:rPr>
              <w:t>, 17</w:t>
            </w:r>
            <w:r w:rsidR="00B958A6" w:rsidRPr="000A118E">
              <w:rPr>
                <w:rFonts w:ascii="Arial" w:hAnsi="Arial" w:cs="Arial"/>
                <w:sz w:val="18"/>
                <w:szCs w:val="18"/>
                <w:lang w:val="en-US"/>
              </w:rPr>
              <w:t xml:space="preserve"> March </w:t>
            </w:r>
            <w:r w:rsidR="00810597" w:rsidRPr="000A118E">
              <w:rPr>
                <w:rFonts w:ascii="Arial" w:hAnsi="Arial" w:cs="Arial"/>
                <w:sz w:val="18"/>
                <w:szCs w:val="18"/>
                <w:lang w:val="en-US"/>
              </w:rPr>
              <w:t>2021</w:t>
            </w:r>
            <w:r w:rsidR="0056012F">
              <w:rPr>
                <w:rFonts w:ascii="Arial" w:hAnsi="Arial" w:cs="Arial"/>
                <w:sz w:val="18"/>
                <w:szCs w:val="18"/>
                <w:lang w:val="en-US"/>
              </w:rPr>
              <w:t>.</w:t>
            </w:r>
          </w:p>
        </w:tc>
        <w:tc>
          <w:tcPr>
            <w:tcW w:w="1945" w:type="dxa"/>
          </w:tcPr>
          <w:p w14:paraId="5367BAD1" w14:textId="0E571B9C" w:rsidR="00810597" w:rsidRPr="0068181C" w:rsidRDefault="00810597" w:rsidP="00810597">
            <w:pPr>
              <w:spacing w:after="160" w:line="259" w:lineRule="auto"/>
              <w:rPr>
                <w:rFonts w:ascii="Arial" w:hAnsi="Arial" w:cs="Arial"/>
                <w:sz w:val="18"/>
                <w:szCs w:val="18"/>
                <w:lang w:val="en-US"/>
              </w:rPr>
            </w:pPr>
            <w:r w:rsidRPr="0068181C">
              <w:rPr>
                <w:rFonts w:ascii="Arial" w:hAnsi="Arial" w:cs="Arial"/>
                <w:sz w:val="18"/>
                <w:szCs w:val="18"/>
                <w:lang w:val="en-US"/>
              </w:rPr>
              <w:t>6</w:t>
            </w:r>
            <w:r w:rsidR="00277788" w:rsidRPr="0068181C">
              <w:rPr>
                <w:rFonts w:ascii="Arial" w:hAnsi="Arial" w:cs="Arial"/>
                <w:sz w:val="18"/>
                <w:szCs w:val="18"/>
                <w:lang w:val="en-US"/>
              </w:rPr>
              <w:t xml:space="preserve"> December </w:t>
            </w:r>
            <w:r w:rsidRPr="0068181C">
              <w:rPr>
                <w:rFonts w:ascii="Arial" w:hAnsi="Arial" w:cs="Arial"/>
                <w:sz w:val="18"/>
                <w:szCs w:val="18"/>
                <w:lang w:val="en-US"/>
              </w:rPr>
              <w:t>2019</w:t>
            </w:r>
          </w:p>
        </w:tc>
        <w:tc>
          <w:tcPr>
            <w:tcW w:w="2410" w:type="dxa"/>
          </w:tcPr>
          <w:p w14:paraId="4D76B440" w14:textId="5AE8500B" w:rsidR="00810597" w:rsidRPr="0068181C" w:rsidRDefault="0080320A" w:rsidP="00810597">
            <w:pPr>
              <w:spacing w:after="160" w:line="259" w:lineRule="auto"/>
              <w:rPr>
                <w:rFonts w:ascii="Arial" w:hAnsi="Arial" w:cs="Arial"/>
                <w:sz w:val="18"/>
                <w:szCs w:val="18"/>
                <w:lang w:val="en-US"/>
              </w:rPr>
            </w:pPr>
            <w:r w:rsidRPr="0068181C">
              <w:rPr>
                <w:rFonts w:ascii="Arial" w:hAnsi="Arial" w:cs="Arial"/>
                <w:sz w:val="18"/>
                <w:szCs w:val="18"/>
                <w:lang w:val="en-US"/>
              </w:rPr>
              <w:t>The Committee of Social Rights has found a violation, which has not yet been remedied.</w:t>
            </w:r>
          </w:p>
        </w:tc>
        <w:tc>
          <w:tcPr>
            <w:tcW w:w="3402" w:type="dxa"/>
          </w:tcPr>
          <w:p w14:paraId="5DEDCA4C" w14:textId="5B6AC23D" w:rsidR="00810597" w:rsidRPr="0068181C" w:rsidRDefault="007E68B7" w:rsidP="00810597">
            <w:pPr>
              <w:spacing w:after="160" w:line="259" w:lineRule="auto"/>
              <w:rPr>
                <w:rFonts w:ascii="Arial" w:hAnsi="Arial" w:cs="Arial"/>
                <w:sz w:val="18"/>
                <w:szCs w:val="18"/>
                <w:lang w:val="en-US"/>
              </w:rPr>
            </w:pPr>
            <w:r w:rsidRPr="0068181C">
              <w:rPr>
                <w:rFonts w:ascii="Arial" w:hAnsi="Arial" w:cs="Arial"/>
                <w:sz w:val="18"/>
                <w:szCs w:val="18"/>
                <w:lang w:val="en-US"/>
              </w:rPr>
              <w:t xml:space="preserve">The ECSR found a violation of </w:t>
            </w:r>
            <w:r w:rsidRPr="0068181C">
              <w:rPr>
                <w:rFonts w:ascii="Arial" w:hAnsi="Arial" w:cs="Arial"/>
                <w:b/>
                <w:bCs/>
                <w:sz w:val="18"/>
                <w:szCs w:val="18"/>
                <w:lang w:val="en-US"/>
              </w:rPr>
              <w:t>A</w:t>
            </w:r>
            <w:r w:rsidR="00810597" w:rsidRPr="0068181C">
              <w:rPr>
                <w:rFonts w:ascii="Arial" w:hAnsi="Arial" w:cs="Arial"/>
                <w:b/>
                <w:bCs/>
                <w:sz w:val="18"/>
                <w:szCs w:val="18"/>
                <w:lang w:val="en-US"/>
              </w:rPr>
              <w:t>rti</w:t>
            </w:r>
            <w:r w:rsidRPr="0068181C">
              <w:rPr>
                <w:rFonts w:ascii="Arial" w:hAnsi="Arial" w:cs="Arial"/>
                <w:b/>
                <w:bCs/>
                <w:sz w:val="18"/>
                <w:szCs w:val="18"/>
                <w:lang w:val="en-US"/>
              </w:rPr>
              <w:t>c</w:t>
            </w:r>
            <w:r w:rsidR="00810597" w:rsidRPr="0068181C">
              <w:rPr>
                <w:rFonts w:ascii="Arial" w:hAnsi="Arial" w:cs="Arial"/>
                <w:b/>
                <w:bCs/>
                <w:sz w:val="18"/>
                <w:szCs w:val="18"/>
                <w:lang w:val="en-US"/>
              </w:rPr>
              <w:t>l</w:t>
            </w:r>
            <w:r w:rsidRPr="0068181C">
              <w:rPr>
                <w:rFonts w:ascii="Arial" w:hAnsi="Arial" w:cs="Arial"/>
                <w:b/>
                <w:bCs/>
                <w:sz w:val="18"/>
                <w:szCs w:val="18"/>
                <w:lang w:val="en-US"/>
              </w:rPr>
              <w:t>e</w:t>
            </w:r>
            <w:r w:rsidR="00810597" w:rsidRPr="0068181C">
              <w:rPr>
                <w:rFonts w:ascii="Arial" w:hAnsi="Arial" w:cs="Arial"/>
                <w:b/>
                <w:bCs/>
                <w:sz w:val="18"/>
                <w:szCs w:val="18"/>
                <w:lang w:val="en-US"/>
              </w:rPr>
              <w:t xml:space="preserve"> 4</w:t>
            </w:r>
            <w:proofErr w:type="gramStart"/>
            <w:r w:rsidR="00810597" w:rsidRPr="0068181C">
              <w:rPr>
                <w:rFonts w:ascii="Arial" w:hAnsi="Arial" w:cs="Arial"/>
                <w:b/>
                <w:bCs/>
                <w:sz w:val="18"/>
                <w:szCs w:val="18"/>
                <w:lang w:val="en-US"/>
              </w:rPr>
              <w:t>§(</w:t>
            </w:r>
            <w:proofErr w:type="gramEnd"/>
            <w:r w:rsidR="00810597" w:rsidRPr="0068181C">
              <w:rPr>
                <w:rFonts w:ascii="Arial" w:hAnsi="Arial" w:cs="Arial"/>
                <w:b/>
                <w:bCs/>
                <w:sz w:val="18"/>
                <w:szCs w:val="18"/>
                <w:lang w:val="en-US"/>
              </w:rPr>
              <w:t>3)</w:t>
            </w:r>
            <w:r w:rsidR="00810597" w:rsidRPr="0068181C">
              <w:rPr>
                <w:rFonts w:ascii="Arial" w:hAnsi="Arial" w:cs="Arial"/>
                <w:sz w:val="18"/>
                <w:szCs w:val="18"/>
                <w:lang w:val="en-US"/>
              </w:rPr>
              <w:t xml:space="preserve">, </w:t>
            </w:r>
            <w:r w:rsidRPr="0068181C">
              <w:rPr>
                <w:rFonts w:ascii="Arial" w:hAnsi="Arial" w:cs="Arial"/>
                <w:sz w:val="18"/>
                <w:szCs w:val="18"/>
                <w:lang w:val="en-US"/>
              </w:rPr>
              <w:t>because the</w:t>
            </w:r>
            <w:r w:rsidR="00055F7E" w:rsidRPr="0068181C">
              <w:rPr>
                <w:rFonts w:ascii="Arial" w:hAnsi="Arial" w:cs="Arial"/>
                <w:sz w:val="18"/>
                <w:szCs w:val="18"/>
                <w:lang w:val="en-US"/>
              </w:rPr>
              <w:t xml:space="preserve"> legislation does not provide the use of effective remedies, since it does not make provision for reinstatement in cases where a worker is dismissed in retaliation for bringing an equal pay claim</w:t>
            </w:r>
            <w:r w:rsidR="000445B5" w:rsidRPr="0068181C">
              <w:rPr>
                <w:rFonts w:ascii="Arial" w:hAnsi="Arial" w:cs="Arial"/>
                <w:sz w:val="18"/>
                <w:szCs w:val="18"/>
                <w:lang w:val="en-US"/>
              </w:rPr>
              <w:t xml:space="preserve">. </w:t>
            </w:r>
            <w:r w:rsidR="00055F7E" w:rsidRPr="0068181C">
              <w:rPr>
                <w:rFonts w:ascii="Arial" w:hAnsi="Arial" w:cs="Arial"/>
                <w:sz w:val="18"/>
                <w:szCs w:val="18"/>
                <w:lang w:val="en-US"/>
              </w:rPr>
              <w:t xml:space="preserve">The ECSR found a violation of </w:t>
            </w:r>
            <w:r w:rsidR="00055F7E" w:rsidRPr="0068181C">
              <w:rPr>
                <w:rFonts w:ascii="Arial" w:hAnsi="Arial" w:cs="Arial"/>
                <w:b/>
                <w:bCs/>
                <w:sz w:val="18"/>
                <w:szCs w:val="18"/>
                <w:lang w:val="en-US"/>
              </w:rPr>
              <w:t xml:space="preserve">Article </w:t>
            </w:r>
            <w:r w:rsidR="00810597" w:rsidRPr="0068181C">
              <w:rPr>
                <w:rFonts w:ascii="Arial" w:hAnsi="Arial" w:cs="Arial"/>
                <w:b/>
                <w:bCs/>
                <w:sz w:val="18"/>
                <w:szCs w:val="18"/>
                <w:lang w:val="en-US"/>
              </w:rPr>
              <w:t>20</w:t>
            </w:r>
            <w:r w:rsidR="00055F7E" w:rsidRPr="0068181C">
              <w:rPr>
                <w:rFonts w:ascii="Arial" w:hAnsi="Arial" w:cs="Arial"/>
                <w:b/>
                <w:bCs/>
                <w:sz w:val="18"/>
                <w:szCs w:val="18"/>
                <w:lang w:val="en-US"/>
              </w:rPr>
              <w:t xml:space="preserve"> c </w:t>
            </w:r>
            <w:r w:rsidR="00055F7E" w:rsidRPr="0068181C">
              <w:rPr>
                <w:rFonts w:ascii="Arial" w:hAnsi="Arial" w:cs="Arial"/>
                <w:color w:val="000000"/>
                <w:sz w:val="18"/>
                <w:szCs w:val="18"/>
                <w:shd w:val="clear" w:color="auto" w:fill="FFFFFF"/>
                <w:lang w:val="en-US"/>
              </w:rPr>
              <w:t>on the ground that Finland has not taken appropriate measures to promote the application of the right to equal opportunities and equal treatment between men and women in the field of remuneration</w:t>
            </w:r>
            <w:r w:rsidR="00810597" w:rsidRPr="0068181C">
              <w:rPr>
                <w:rFonts w:ascii="Arial" w:hAnsi="Arial" w:cs="Arial"/>
                <w:sz w:val="18"/>
                <w:szCs w:val="18"/>
                <w:lang w:val="en-US"/>
              </w:rPr>
              <w:t>.</w:t>
            </w:r>
          </w:p>
        </w:tc>
        <w:tc>
          <w:tcPr>
            <w:tcW w:w="3509" w:type="dxa"/>
          </w:tcPr>
          <w:p w14:paraId="137046AE" w14:textId="494CD4E5" w:rsidR="00810597" w:rsidRPr="0068181C" w:rsidRDefault="00055F7E" w:rsidP="00810597">
            <w:pPr>
              <w:spacing w:after="160" w:line="259" w:lineRule="auto"/>
              <w:rPr>
                <w:rFonts w:ascii="Arial" w:hAnsi="Arial" w:cs="Arial"/>
                <w:sz w:val="18"/>
                <w:szCs w:val="18"/>
                <w:lang w:val="en-US"/>
              </w:rPr>
            </w:pPr>
            <w:r w:rsidRPr="0068181C">
              <w:rPr>
                <w:rFonts w:ascii="Arial" w:hAnsi="Arial" w:cs="Arial"/>
                <w:sz w:val="18"/>
                <w:szCs w:val="18"/>
                <w:lang w:val="en-US"/>
              </w:rPr>
              <w:t>The Committee of Ministers recommends that Finland</w:t>
            </w:r>
            <w:r w:rsidR="00810597" w:rsidRPr="0068181C">
              <w:rPr>
                <w:rFonts w:ascii="Arial" w:hAnsi="Arial" w:cs="Arial"/>
                <w:sz w:val="18"/>
                <w:szCs w:val="18"/>
                <w:lang w:val="en-US"/>
              </w:rPr>
              <w:t>:</w:t>
            </w:r>
          </w:p>
          <w:p w14:paraId="0FAAC57A" w14:textId="77777777" w:rsidR="00055F7E" w:rsidRPr="0068181C" w:rsidRDefault="00810597" w:rsidP="00055F7E">
            <w:pPr>
              <w:rPr>
                <w:rFonts w:ascii="Arial" w:hAnsi="Arial" w:cs="Arial"/>
                <w:sz w:val="18"/>
                <w:szCs w:val="18"/>
                <w:lang w:val="en-US"/>
              </w:rPr>
            </w:pPr>
            <w:r w:rsidRPr="0068181C">
              <w:rPr>
                <w:rFonts w:ascii="Arial" w:hAnsi="Arial" w:cs="Arial"/>
                <w:sz w:val="18"/>
                <w:szCs w:val="18"/>
                <w:lang w:val="en-US"/>
              </w:rPr>
              <w:t>-</w:t>
            </w:r>
            <w:r w:rsidR="00055F7E" w:rsidRPr="0068181C">
              <w:rPr>
                <w:rFonts w:ascii="Arial" w:hAnsi="Arial" w:cs="Arial"/>
                <w:sz w:val="18"/>
                <w:szCs w:val="18"/>
                <w:lang w:val="en-US"/>
              </w:rPr>
              <w:t xml:space="preserve">review and reinforce existing measures aimed at reducing and eliminating the gender pay gap and consider adopting any new measures that may bring about measurable progress within reasonable time in this </w:t>
            </w:r>
            <w:proofErr w:type="gramStart"/>
            <w:r w:rsidR="00055F7E" w:rsidRPr="0068181C">
              <w:rPr>
                <w:rFonts w:ascii="Arial" w:hAnsi="Arial" w:cs="Arial"/>
                <w:sz w:val="18"/>
                <w:szCs w:val="18"/>
                <w:lang w:val="en-US"/>
              </w:rPr>
              <w:t>respect;</w:t>
            </w:r>
            <w:proofErr w:type="gramEnd"/>
          </w:p>
          <w:p w14:paraId="2566A4A0" w14:textId="77777777" w:rsidR="00055F7E" w:rsidRPr="0068181C" w:rsidRDefault="00055F7E" w:rsidP="00055F7E">
            <w:pPr>
              <w:rPr>
                <w:rFonts w:ascii="Arial" w:hAnsi="Arial" w:cs="Arial"/>
                <w:sz w:val="18"/>
                <w:szCs w:val="18"/>
                <w:lang w:val="en-US"/>
              </w:rPr>
            </w:pPr>
          </w:p>
          <w:p w14:paraId="6E237CC5" w14:textId="3A41C507" w:rsidR="00810597" w:rsidRPr="0068181C" w:rsidRDefault="00055F7E" w:rsidP="00810597">
            <w:pPr>
              <w:spacing w:after="160" w:line="259" w:lineRule="auto"/>
              <w:rPr>
                <w:rFonts w:ascii="Arial" w:hAnsi="Arial" w:cs="Arial"/>
                <w:sz w:val="18"/>
                <w:szCs w:val="18"/>
                <w:lang w:val="en-US"/>
              </w:rPr>
            </w:pPr>
            <w:r w:rsidRPr="0068181C">
              <w:rPr>
                <w:rFonts w:ascii="Arial" w:hAnsi="Arial" w:cs="Arial"/>
                <w:sz w:val="18"/>
                <w:szCs w:val="18"/>
                <w:lang w:val="en-US"/>
              </w:rPr>
              <w:t xml:space="preserve">-indicate the decisions and actions taken to comply with this recommendation in the next report on follow-up to decisions in collective complaints </w:t>
            </w:r>
            <w:r w:rsidR="00810597" w:rsidRPr="0068181C">
              <w:rPr>
                <w:rFonts w:ascii="Arial" w:hAnsi="Arial" w:cs="Arial"/>
                <w:sz w:val="18"/>
                <w:szCs w:val="18"/>
                <w:lang w:val="en-US"/>
              </w:rPr>
              <w:t>(31</w:t>
            </w:r>
            <w:r w:rsidRPr="0068181C">
              <w:rPr>
                <w:rFonts w:ascii="Arial" w:hAnsi="Arial" w:cs="Arial"/>
                <w:sz w:val="18"/>
                <w:szCs w:val="18"/>
                <w:lang w:val="en-US"/>
              </w:rPr>
              <w:t xml:space="preserve"> October </w:t>
            </w:r>
            <w:r w:rsidR="00810597" w:rsidRPr="0068181C">
              <w:rPr>
                <w:rFonts w:ascii="Arial" w:hAnsi="Arial" w:cs="Arial"/>
                <w:sz w:val="18"/>
                <w:szCs w:val="18"/>
                <w:lang w:val="en-US"/>
              </w:rPr>
              <w:t>2022).</w:t>
            </w:r>
          </w:p>
        </w:tc>
      </w:tr>
      <w:tr w:rsidR="00810597" w:rsidRPr="00414B7C" w14:paraId="6A869935" w14:textId="77777777" w:rsidTr="00004F15">
        <w:tc>
          <w:tcPr>
            <w:tcW w:w="2728" w:type="dxa"/>
          </w:tcPr>
          <w:p w14:paraId="74E37C70" w14:textId="1A84F1B0" w:rsidR="00810597" w:rsidRPr="0068181C" w:rsidRDefault="00810597" w:rsidP="00810597">
            <w:pPr>
              <w:spacing w:after="160" w:line="259" w:lineRule="auto"/>
              <w:rPr>
                <w:rFonts w:ascii="Arial" w:hAnsi="Arial" w:cs="Arial"/>
                <w:sz w:val="18"/>
                <w:szCs w:val="18"/>
                <w:lang w:val="en-US"/>
              </w:rPr>
            </w:pPr>
            <w:r w:rsidRPr="0068181C">
              <w:rPr>
                <w:rFonts w:ascii="Arial" w:hAnsi="Arial" w:cs="Arial"/>
                <w:b/>
                <w:bCs/>
                <w:sz w:val="18"/>
                <w:szCs w:val="18"/>
                <w:lang w:val="en-US"/>
              </w:rPr>
              <w:t>Central Union for Child Welfare (CUCW) v. Finland</w:t>
            </w:r>
            <w:r w:rsidR="00BD64A2">
              <w:rPr>
                <w:rStyle w:val="Alaviitteenviite"/>
                <w:rFonts w:ascii="Arial" w:hAnsi="Arial" w:cs="Arial"/>
                <w:b/>
                <w:bCs/>
                <w:sz w:val="18"/>
                <w:szCs w:val="18"/>
                <w:lang w:val="en-US"/>
              </w:rPr>
              <w:footnoteReference w:id="3"/>
            </w:r>
            <w:r w:rsidRPr="0068181C">
              <w:rPr>
                <w:rFonts w:ascii="Arial" w:hAnsi="Arial" w:cs="Arial"/>
                <w:sz w:val="18"/>
                <w:szCs w:val="18"/>
                <w:lang w:val="en-US"/>
              </w:rPr>
              <w:t xml:space="preserve"> (</w:t>
            </w:r>
            <w:r w:rsidR="00414B7C">
              <w:fldChar w:fldCharType="begin"/>
            </w:r>
            <w:r w:rsidR="00414B7C" w:rsidRPr="00414B7C">
              <w:rPr>
                <w:lang w:val="en-GB"/>
              </w:rPr>
              <w:instrText xml:space="preserve"> HYPERLINK "https://www.coe.int/en/web/european-social-charter/processed-comp</w:instrText>
            </w:r>
            <w:r w:rsidR="00414B7C" w:rsidRPr="00414B7C">
              <w:rPr>
                <w:lang w:val="en-GB"/>
              </w:rPr>
              <w:instrText>laints/-/asset_publisher/5GEFkJmH2bYG/content/no-139-2016-central-union-for-child-welfare-cucw-v-finland?inheritRedirect=false&amp;redirect=https%3A%2F%2Fwww.coe.int%2Fen%2Fweb%2Feuropean-social-charter%2Fprocessed-complaints%3Fp_p_id%3D101_INSTANCE_5GEFkJmH2b</w:instrText>
            </w:r>
            <w:r w:rsidR="00414B7C" w:rsidRPr="00414B7C">
              <w:rPr>
                <w:lang w:val="en-GB"/>
              </w:rPr>
              <w:instrText>YG%26p_p_lifecycle%3D0%26p_p_state%3Dnormal%26p_p_mode%3Dview%26p_p_col_id%3Dcolumn-4%26p_p_col_count%3D1%26_101_INSTANCE_5GEFkJmH2bYG_currentURL%3D%252Fen%252Fweb%252Feuropean-social-charter%252Fprocessed-complaints%26p_r_p_564233524_resetCur%3Dtrue%26p_r</w:instrText>
            </w:r>
            <w:r w:rsidR="00414B7C" w:rsidRPr="00414B7C">
              <w:rPr>
                <w:lang w:val="en-GB"/>
              </w:rPr>
              <w:instrText xml:space="preserve">_p_564233524_categoryId%3D28547786" </w:instrText>
            </w:r>
            <w:r w:rsidR="00414B7C">
              <w:fldChar w:fldCharType="separate"/>
            </w:r>
            <w:r w:rsidR="00277788" w:rsidRPr="0068181C">
              <w:rPr>
                <w:rFonts w:ascii="Arial" w:hAnsi="Arial" w:cs="Arial"/>
                <w:sz w:val="18"/>
                <w:szCs w:val="18"/>
                <w:lang w:val="en-US"/>
              </w:rPr>
              <w:t xml:space="preserve">complaint </w:t>
            </w:r>
            <w:r w:rsidRPr="0068181C">
              <w:rPr>
                <w:rStyle w:val="Hyperlinkki"/>
                <w:rFonts w:ascii="Arial" w:hAnsi="Arial" w:cs="Arial"/>
                <w:sz w:val="18"/>
                <w:szCs w:val="18"/>
                <w:lang w:val="en-US"/>
              </w:rPr>
              <w:t>no. 139/2016</w:t>
            </w:r>
            <w:r w:rsidR="00414B7C">
              <w:rPr>
                <w:rStyle w:val="Hyperlinkki"/>
                <w:rFonts w:ascii="Arial" w:hAnsi="Arial" w:cs="Arial"/>
                <w:sz w:val="18"/>
                <w:szCs w:val="18"/>
                <w:lang w:val="en-US"/>
              </w:rPr>
              <w:fldChar w:fldCharType="end"/>
            </w:r>
            <w:r w:rsidRPr="0068181C">
              <w:rPr>
                <w:rFonts w:ascii="Arial" w:hAnsi="Arial" w:cs="Arial"/>
                <w:sz w:val="18"/>
                <w:szCs w:val="18"/>
                <w:lang w:val="en-US"/>
              </w:rPr>
              <w:t>)</w:t>
            </w:r>
          </w:p>
          <w:p w14:paraId="5629CCDF" w14:textId="77777777" w:rsidR="00810597" w:rsidRPr="0068181C" w:rsidRDefault="00810597" w:rsidP="00810597">
            <w:pPr>
              <w:spacing w:after="160" w:line="259" w:lineRule="auto"/>
              <w:rPr>
                <w:rFonts w:ascii="Arial" w:hAnsi="Arial" w:cs="Arial"/>
                <w:sz w:val="18"/>
                <w:szCs w:val="18"/>
                <w:lang w:val="en-US"/>
              </w:rPr>
            </w:pPr>
          </w:p>
          <w:p w14:paraId="1CA56E57" w14:textId="675F8FE1" w:rsidR="00810597" w:rsidRPr="000A118E" w:rsidRDefault="000A118E" w:rsidP="000A118E">
            <w:pPr>
              <w:rPr>
                <w:rFonts w:ascii="Arial" w:hAnsi="Arial" w:cs="Arial"/>
                <w:sz w:val="18"/>
                <w:szCs w:val="18"/>
                <w:lang w:val="en-US"/>
              </w:rPr>
            </w:pPr>
            <w:r w:rsidRPr="000A118E">
              <w:rPr>
                <w:rFonts w:ascii="Arial" w:hAnsi="Arial" w:cs="Arial"/>
                <w:sz w:val="18"/>
                <w:szCs w:val="18"/>
                <w:lang w:val="en-US"/>
              </w:rPr>
              <w:t>-</w:t>
            </w:r>
            <w:r>
              <w:rPr>
                <w:rFonts w:ascii="Arial" w:hAnsi="Arial" w:cs="Arial"/>
                <w:sz w:val="18"/>
                <w:szCs w:val="18"/>
                <w:lang w:val="en-US"/>
              </w:rPr>
              <w:t xml:space="preserve"> R</w:t>
            </w:r>
            <w:r w:rsidR="00B958A6" w:rsidRPr="000A118E">
              <w:rPr>
                <w:rFonts w:ascii="Arial" w:hAnsi="Arial" w:cs="Arial"/>
                <w:sz w:val="18"/>
                <w:szCs w:val="18"/>
                <w:lang w:val="en-US"/>
              </w:rPr>
              <w:t>esolution of the CM</w:t>
            </w:r>
            <w:r w:rsidR="00810597" w:rsidRPr="000A118E">
              <w:rPr>
                <w:rFonts w:ascii="Arial" w:hAnsi="Arial" w:cs="Arial"/>
                <w:sz w:val="18"/>
                <w:szCs w:val="18"/>
                <w:lang w:val="en-US"/>
              </w:rPr>
              <w:t xml:space="preserve"> </w:t>
            </w:r>
            <w:hyperlink r:id="rId9" w:history="1">
              <w:r w:rsidR="00810597" w:rsidRPr="000A118E">
                <w:rPr>
                  <w:rStyle w:val="Hyperlinkki"/>
                  <w:rFonts w:ascii="Arial" w:hAnsi="Arial" w:cs="Arial"/>
                  <w:sz w:val="18"/>
                  <w:szCs w:val="18"/>
                  <w:lang w:val="en-US"/>
                </w:rPr>
                <w:t>CM/</w:t>
              </w:r>
              <w:proofErr w:type="spellStart"/>
              <w:proofErr w:type="gramStart"/>
              <w:r w:rsidR="00810597" w:rsidRPr="000A118E">
                <w:rPr>
                  <w:rStyle w:val="Hyperlinkki"/>
                  <w:rFonts w:ascii="Arial" w:hAnsi="Arial" w:cs="Arial"/>
                  <w:sz w:val="18"/>
                  <w:szCs w:val="18"/>
                  <w:lang w:val="en-US"/>
                </w:rPr>
                <w:t>ResChS</w:t>
              </w:r>
              <w:proofErr w:type="spellEnd"/>
              <w:r w:rsidR="00810597" w:rsidRPr="000A118E">
                <w:rPr>
                  <w:rStyle w:val="Hyperlinkki"/>
                  <w:rFonts w:ascii="Arial" w:hAnsi="Arial" w:cs="Arial"/>
                  <w:sz w:val="18"/>
                  <w:szCs w:val="18"/>
                  <w:lang w:val="en-US"/>
                </w:rPr>
                <w:t>(</w:t>
              </w:r>
              <w:proofErr w:type="gramEnd"/>
              <w:r w:rsidR="00810597" w:rsidRPr="000A118E">
                <w:rPr>
                  <w:rStyle w:val="Hyperlinkki"/>
                  <w:rFonts w:ascii="Arial" w:hAnsi="Arial" w:cs="Arial"/>
                  <w:sz w:val="18"/>
                  <w:szCs w:val="18"/>
                  <w:lang w:val="en-US"/>
                </w:rPr>
                <w:t>2020)3</w:t>
              </w:r>
            </w:hyperlink>
            <w:r w:rsidR="00810597" w:rsidRPr="000A118E">
              <w:rPr>
                <w:rFonts w:ascii="Arial" w:hAnsi="Arial" w:cs="Arial"/>
                <w:sz w:val="18"/>
                <w:szCs w:val="18"/>
                <w:lang w:val="en-US"/>
              </w:rPr>
              <w:t>, 11</w:t>
            </w:r>
            <w:r w:rsidR="00B958A6" w:rsidRPr="000A118E">
              <w:rPr>
                <w:rFonts w:ascii="Arial" w:hAnsi="Arial" w:cs="Arial"/>
                <w:sz w:val="18"/>
                <w:szCs w:val="18"/>
                <w:lang w:val="en-US"/>
              </w:rPr>
              <w:t xml:space="preserve"> March </w:t>
            </w:r>
            <w:r w:rsidR="00810597" w:rsidRPr="000A118E">
              <w:rPr>
                <w:rFonts w:ascii="Arial" w:hAnsi="Arial" w:cs="Arial"/>
                <w:sz w:val="18"/>
                <w:szCs w:val="18"/>
                <w:lang w:val="en-US"/>
              </w:rPr>
              <w:t>2020</w:t>
            </w:r>
            <w:r w:rsidR="0056012F">
              <w:rPr>
                <w:rFonts w:ascii="Arial" w:hAnsi="Arial" w:cs="Arial"/>
                <w:sz w:val="18"/>
                <w:szCs w:val="18"/>
                <w:lang w:val="en-US"/>
              </w:rPr>
              <w:t>.</w:t>
            </w:r>
          </w:p>
        </w:tc>
        <w:tc>
          <w:tcPr>
            <w:tcW w:w="1945" w:type="dxa"/>
          </w:tcPr>
          <w:p w14:paraId="1186C597" w14:textId="6C6B2F9F" w:rsidR="00810597" w:rsidRPr="0068181C" w:rsidRDefault="00810597" w:rsidP="00810597">
            <w:pPr>
              <w:spacing w:after="160" w:line="259" w:lineRule="auto"/>
              <w:rPr>
                <w:rFonts w:ascii="Arial" w:hAnsi="Arial" w:cs="Arial"/>
                <w:sz w:val="18"/>
                <w:szCs w:val="18"/>
                <w:lang w:val="en-US"/>
              </w:rPr>
            </w:pPr>
            <w:r w:rsidRPr="0068181C">
              <w:rPr>
                <w:rFonts w:ascii="Arial" w:hAnsi="Arial" w:cs="Arial"/>
                <w:sz w:val="18"/>
                <w:szCs w:val="18"/>
                <w:lang w:val="en-US"/>
              </w:rPr>
              <w:t>11</w:t>
            </w:r>
            <w:r w:rsidR="00277788" w:rsidRPr="0068181C">
              <w:rPr>
                <w:rFonts w:ascii="Arial" w:hAnsi="Arial" w:cs="Arial"/>
                <w:sz w:val="18"/>
                <w:szCs w:val="18"/>
                <w:lang w:val="en-US"/>
              </w:rPr>
              <w:t xml:space="preserve"> September </w:t>
            </w:r>
            <w:r w:rsidRPr="0068181C">
              <w:rPr>
                <w:rFonts w:ascii="Arial" w:hAnsi="Arial" w:cs="Arial"/>
                <w:sz w:val="18"/>
                <w:szCs w:val="18"/>
                <w:lang w:val="en-US"/>
              </w:rPr>
              <w:t>2019</w:t>
            </w:r>
          </w:p>
        </w:tc>
        <w:tc>
          <w:tcPr>
            <w:tcW w:w="2410" w:type="dxa"/>
          </w:tcPr>
          <w:p w14:paraId="7A56FE5B" w14:textId="5F6E7DEA" w:rsidR="00810597" w:rsidRPr="0068181C" w:rsidRDefault="0080320A" w:rsidP="00810597">
            <w:pPr>
              <w:spacing w:after="160" w:line="259" w:lineRule="auto"/>
              <w:rPr>
                <w:rFonts w:ascii="Arial" w:hAnsi="Arial" w:cs="Arial"/>
                <w:sz w:val="18"/>
                <w:szCs w:val="18"/>
                <w:lang w:val="en-US"/>
              </w:rPr>
            </w:pPr>
            <w:r w:rsidRPr="0068181C">
              <w:rPr>
                <w:rFonts w:ascii="Arial" w:hAnsi="Arial" w:cs="Arial"/>
                <w:sz w:val="18"/>
                <w:szCs w:val="18"/>
                <w:lang w:val="en-US"/>
              </w:rPr>
              <w:t>The Committee of Social Rights has found a violation, which has not yet been remedied.</w:t>
            </w:r>
          </w:p>
        </w:tc>
        <w:tc>
          <w:tcPr>
            <w:tcW w:w="3402" w:type="dxa"/>
          </w:tcPr>
          <w:p w14:paraId="2EA78518" w14:textId="37B21F01" w:rsidR="00810597" w:rsidRPr="0068181C" w:rsidRDefault="00F417D0" w:rsidP="00F417D0">
            <w:pPr>
              <w:spacing w:after="160" w:line="259" w:lineRule="auto"/>
              <w:rPr>
                <w:rFonts w:ascii="Arial" w:hAnsi="Arial" w:cs="Arial"/>
                <w:sz w:val="18"/>
                <w:szCs w:val="18"/>
                <w:lang w:val="en-US"/>
              </w:rPr>
            </w:pPr>
            <w:r w:rsidRPr="0068181C">
              <w:rPr>
                <w:rFonts w:ascii="Arial" w:hAnsi="Arial" w:cs="Arial"/>
                <w:sz w:val="18"/>
                <w:szCs w:val="18"/>
                <w:lang w:val="en-US"/>
              </w:rPr>
              <w:t xml:space="preserve">The </w:t>
            </w:r>
            <w:r w:rsidR="00903FE0" w:rsidRPr="0068181C">
              <w:rPr>
                <w:rFonts w:ascii="Arial" w:hAnsi="Arial" w:cs="Arial"/>
                <w:sz w:val="18"/>
                <w:szCs w:val="18"/>
                <w:lang w:val="en-US"/>
              </w:rPr>
              <w:t>ECSR</w:t>
            </w:r>
            <w:r w:rsidRPr="0068181C">
              <w:rPr>
                <w:rFonts w:ascii="Arial" w:hAnsi="Arial" w:cs="Arial"/>
                <w:sz w:val="18"/>
                <w:szCs w:val="18"/>
                <w:lang w:val="en-US"/>
              </w:rPr>
              <w:t xml:space="preserve"> found a violation of </w:t>
            </w:r>
            <w:r w:rsidR="00903FE0" w:rsidRPr="0068181C">
              <w:rPr>
                <w:rFonts w:ascii="Arial" w:hAnsi="Arial" w:cs="Arial"/>
                <w:b/>
                <w:bCs/>
                <w:sz w:val="18"/>
                <w:szCs w:val="18"/>
                <w:lang w:val="en-US"/>
              </w:rPr>
              <w:t>A</w:t>
            </w:r>
            <w:r w:rsidRPr="0068181C">
              <w:rPr>
                <w:rFonts w:ascii="Arial" w:hAnsi="Arial" w:cs="Arial"/>
                <w:b/>
                <w:bCs/>
                <w:sz w:val="18"/>
                <w:szCs w:val="18"/>
                <w:lang w:val="en-US"/>
              </w:rPr>
              <w:t>rt</w:t>
            </w:r>
            <w:r w:rsidR="00810597" w:rsidRPr="0068181C">
              <w:rPr>
                <w:rFonts w:ascii="Arial" w:hAnsi="Arial" w:cs="Arial"/>
                <w:b/>
                <w:bCs/>
                <w:sz w:val="18"/>
                <w:szCs w:val="18"/>
                <w:lang w:val="en-US"/>
              </w:rPr>
              <w:t>i</w:t>
            </w:r>
            <w:r w:rsidRPr="0068181C">
              <w:rPr>
                <w:rFonts w:ascii="Arial" w:hAnsi="Arial" w:cs="Arial"/>
                <w:b/>
                <w:bCs/>
                <w:sz w:val="18"/>
                <w:szCs w:val="18"/>
                <w:lang w:val="en-US"/>
              </w:rPr>
              <w:t>c</w:t>
            </w:r>
            <w:r w:rsidR="00810597" w:rsidRPr="0068181C">
              <w:rPr>
                <w:rFonts w:ascii="Arial" w:hAnsi="Arial" w:cs="Arial"/>
                <w:b/>
                <w:bCs/>
                <w:sz w:val="18"/>
                <w:szCs w:val="18"/>
                <w:lang w:val="en-US"/>
              </w:rPr>
              <w:t>l</w:t>
            </w:r>
            <w:r w:rsidRPr="0068181C">
              <w:rPr>
                <w:rFonts w:ascii="Arial" w:hAnsi="Arial" w:cs="Arial"/>
                <w:b/>
                <w:bCs/>
                <w:sz w:val="18"/>
                <w:szCs w:val="18"/>
                <w:lang w:val="en-US"/>
              </w:rPr>
              <w:t>es</w:t>
            </w:r>
            <w:r w:rsidR="00810597" w:rsidRPr="0068181C">
              <w:rPr>
                <w:rFonts w:ascii="Arial" w:hAnsi="Arial" w:cs="Arial"/>
                <w:b/>
                <w:bCs/>
                <w:sz w:val="18"/>
                <w:szCs w:val="18"/>
                <w:lang w:val="en-US"/>
              </w:rPr>
              <w:t xml:space="preserve"> 16,</w:t>
            </w:r>
            <w:r w:rsidRPr="0068181C">
              <w:rPr>
                <w:rFonts w:ascii="Arial" w:hAnsi="Arial" w:cs="Arial"/>
                <w:b/>
                <w:bCs/>
                <w:sz w:val="18"/>
                <w:szCs w:val="18"/>
                <w:lang w:val="en-US"/>
              </w:rPr>
              <w:t xml:space="preserve"> </w:t>
            </w:r>
            <w:r w:rsidR="00810597" w:rsidRPr="0068181C">
              <w:rPr>
                <w:rFonts w:ascii="Arial" w:hAnsi="Arial" w:cs="Arial"/>
                <w:b/>
                <w:bCs/>
                <w:sz w:val="18"/>
                <w:szCs w:val="18"/>
                <w:lang w:val="en-US"/>
              </w:rPr>
              <w:t>17 a</w:t>
            </w:r>
            <w:r w:rsidRPr="0068181C">
              <w:rPr>
                <w:rFonts w:ascii="Arial" w:hAnsi="Arial" w:cs="Arial"/>
                <w:b/>
                <w:bCs/>
                <w:sz w:val="18"/>
                <w:szCs w:val="18"/>
                <w:lang w:val="en-US"/>
              </w:rPr>
              <w:t>nd</w:t>
            </w:r>
            <w:r w:rsidR="00810597" w:rsidRPr="0068181C">
              <w:rPr>
                <w:rFonts w:ascii="Arial" w:hAnsi="Arial" w:cs="Arial"/>
                <w:b/>
                <w:bCs/>
                <w:sz w:val="18"/>
                <w:szCs w:val="18"/>
                <w:lang w:val="en-US"/>
              </w:rPr>
              <w:t xml:space="preserve"> 27 </w:t>
            </w:r>
            <w:r w:rsidR="00903FE0" w:rsidRPr="0068181C">
              <w:rPr>
                <w:rFonts w:ascii="Arial" w:hAnsi="Arial" w:cs="Arial"/>
                <w:sz w:val="18"/>
                <w:szCs w:val="18"/>
                <w:lang w:val="en-US"/>
              </w:rPr>
              <w:t>because in relation to</w:t>
            </w:r>
            <w:r w:rsidR="00903FE0" w:rsidRPr="0068181C">
              <w:rPr>
                <w:rFonts w:ascii="Arial" w:hAnsi="Arial" w:cs="Arial"/>
                <w:color w:val="000000"/>
                <w:sz w:val="18"/>
                <w:szCs w:val="18"/>
                <w:shd w:val="clear" w:color="auto" w:fill="FFFFFF"/>
                <w:lang w:val="en-US"/>
              </w:rPr>
              <w:t xml:space="preserve"> early childhood education and care,</w:t>
            </w:r>
            <w:r w:rsidR="00903FE0" w:rsidRPr="0068181C">
              <w:rPr>
                <w:rFonts w:ascii="Arial" w:hAnsi="Arial" w:cs="Arial"/>
                <w:sz w:val="18"/>
                <w:szCs w:val="18"/>
                <w:lang w:val="en-US"/>
              </w:rPr>
              <w:t xml:space="preserve"> there was a difference in the treatment of children whose parents are unemployed or on maternity, </w:t>
            </w:r>
            <w:proofErr w:type="gramStart"/>
            <w:r w:rsidR="00903FE0" w:rsidRPr="0068181C">
              <w:rPr>
                <w:rFonts w:ascii="Arial" w:hAnsi="Arial" w:cs="Arial"/>
                <w:sz w:val="18"/>
                <w:szCs w:val="18"/>
                <w:lang w:val="en-US"/>
              </w:rPr>
              <w:t>paternity</w:t>
            </w:r>
            <w:proofErr w:type="gramEnd"/>
            <w:r w:rsidR="00903FE0" w:rsidRPr="0068181C">
              <w:rPr>
                <w:rFonts w:ascii="Arial" w:hAnsi="Arial" w:cs="Arial"/>
                <w:sz w:val="18"/>
                <w:szCs w:val="18"/>
                <w:lang w:val="en-US"/>
              </w:rPr>
              <w:t xml:space="preserve"> or parental leave, compared to those of parents who work, and the difference had no objective and reasonable justification. The legislation </w:t>
            </w:r>
            <w:r w:rsidR="00903FE0" w:rsidRPr="0068181C">
              <w:rPr>
                <w:rFonts w:ascii="Arial" w:hAnsi="Arial" w:cs="Arial"/>
                <w:color w:val="000000"/>
                <w:sz w:val="18"/>
                <w:szCs w:val="18"/>
                <w:shd w:val="clear" w:color="auto" w:fill="FFFFFF"/>
                <w:lang w:val="en-US"/>
              </w:rPr>
              <w:t>establishes a difference in treatment between families in a comparable situation. The Government has not provided any objective and reasonable justification for this difference in treatment for the most vulnerable or disadvantaged families.</w:t>
            </w:r>
          </w:p>
        </w:tc>
        <w:tc>
          <w:tcPr>
            <w:tcW w:w="3509" w:type="dxa"/>
          </w:tcPr>
          <w:p w14:paraId="6BA9C20F" w14:textId="7DF8E2B0" w:rsidR="00810597" w:rsidRPr="0068181C" w:rsidRDefault="00F03B97" w:rsidP="00F03B97">
            <w:pPr>
              <w:rPr>
                <w:rFonts w:ascii="Arial" w:hAnsi="Arial" w:cs="Arial"/>
                <w:sz w:val="18"/>
                <w:szCs w:val="18"/>
                <w:lang w:val="en-US"/>
              </w:rPr>
            </w:pPr>
            <w:r w:rsidRPr="0068181C">
              <w:rPr>
                <w:rFonts w:ascii="Arial" w:hAnsi="Arial" w:cs="Arial"/>
                <w:sz w:val="18"/>
                <w:szCs w:val="18"/>
                <w:lang w:val="en-US"/>
              </w:rPr>
              <w:t xml:space="preserve">The Committee of Ministers takes note of the information provided by the Finnish authorities in this respect, in particular the legislative amendments </w:t>
            </w:r>
            <w:r w:rsidR="00737224" w:rsidRPr="0068181C">
              <w:rPr>
                <w:rFonts w:ascii="Arial" w:hAnsi="Arial" w:cs="Arial"/>
                <w:sz w:val="18"/>
                <w:szCs w:val="18"/>
                <w:lang w:val="en-US"/>
              </w:rPr>
              <w:t xml:space="preserve">which </w:t>
            </w:r>
            <w:r w:rsidRPr="0068181C">
              <w:rPr>
                <w:rFonts w:ascii="Arial" w:hAnsi="Arial" w:cs="Arial"/>
                <w:sz w:val="18"/>
                <w:szCs w:val="18"/>
                <w:lang w:val="en-US"/>
              </w:rPr>
              <w:t>entered into force in August 2020 and looks forward to the Finnish authorities reporting on any further developments at the time of the submission of the next report concerning the relevant provisions of the Charter.</w:t>
            </w:r>
          </w:p>
        </w:tc>
      </w:tr>
    </w:tbl>
    <w:p w14:paraId="620D439B" w14:textId="4A25F7B9" w:rsidR="00004F15" w:rsidRPr="0068181C" w:rsidRDefault="00004F15" w:rsidP="00451510">
      <w:pPr>
        <w:rPr>
          <w:rFonts w:ascii="Arial" w:hAnsi="Arial" w:cs="Arial"/>
          <w:sz w:val="18"/>
          <w:szCs w:val="18"/>
          <w:lang w:val="en-US"/>
        </w:rPr>
      </w:pPr>
    </w:p>
    <w:sectPr w:rsidR="00004F15" w:rsidRPr="0068181C" w:rsidSect="00004F15">
      <w:headerReference w:type="default" r:id="rId10"/>
      <w:footerReference w:type="default" r:id="rId11"/>
      <w:pgSz w:w="16838" w:h="11906" w:orient="landscape"/>
      <w:pgMar w:top="1134" w:right="1417" w:bottom="1134" w:left="1417"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AC167" w14:textId="77777777" w:rsidR="00004F15" w:rsidRDefault="00004F15" w:rsidP="00DF3B06">
      <w:pPr>
        <w:spacing w:after="0" w:line="240" w:lineRule="auto"/>
      </w:pPr>
      <w:r>
        <w:separator/>
      </w:r>
    </w:p>
  </w:endnote>
  <w:endnote w:type="continuationSeparator" w:id="0">
    <w:p w14:paraId="696A09AC" w14:textId="77777777" w:rsidR="00004F15" w:rsidRDefault="00004F15" w:rsidP="00DF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273464"/>
      <w:docPartObj>
        <w:docPartGallery w:val="Page Numbers (Bottom of Page)"/>
        <w:docPartUnique/>
      </w:docPartObj>
    </w:sdtPr>
    <w:sdtEndPr>
      <w:rPr>
        <w:rFonts w:ascii="Arial" w:hAnsi="Arial" w:cs="Arial"/>
        <w:sz w:val="18"/>
        <w:szCs w:val="18"/>
      </w:rPr>
    </w:sdtEndPr>
    <w:sdtContent>
      <w:p w14:paraId="746B6C83" w14:textId="77777777" w:rsidR="00004F15" w:rsidRPr="00163255" w:rsidRDefault="00004F15">
        <w:pPr>
          <w:pStyle w:val="Alatunniste"/>
          <w:jc w:val="right"/>
          <w:rPr>
            <w:rFonts w:ascii="Arial" w:hAnsi="Arial" w:cs="Arial"/>
            <w:sz w:val="18"/>
            <w:szCs w:val="18"/>
          </w:rPr>
        </w:pPr>
        <w:r w:rsidRPr="00163255">
          <w:rPr>
            <w:rFonts w:ascii="Arial" w:hAnsi="Arial" w:cs="Arial"/>
            <w:noProof/>
            <w:sz w:val="18"/>
            <w:szCs w:val="18"/>
          </w:rPr>
          <w:drawing>
            <wp:anchor distT="0" distB="0" distL="114300" distR="114300" simplePos="0" relativeHeight="251663360" behindDoc="1" locked="0" layoutInCell="1" allowOverlap="1" wp14:anchorId="7AF94B26" wp14:editId="48C4F594">
              <wp:simplePos x="0" y="0"/>
              <wp:positionH relativeFrom="margin">
                <wp:align>right</wp:align>
              </wp:positionH>
              <wp:positionV relativeFrom="paragraph">
                <wp:posOffset>-20955</wp:posOffset>
              </wp:positionV>
              <wp:extent cx="5105400" cy="790575"/>
              <wp:effectExtent l="0" t="0" r="0" b="0"/>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r w:rsidRPr="00163255">
          <w:rPr>
            <w:rFonts w:ascii="Arial" w:hAnsi="Arial" w:cs="Arial"/>
            <w:noProof/>
            <w:sz w:val="18"/>
            <w:szCs w:val="18"/>
          </w:rPr>
          <w:drawing>
            <wp:anchor distT="0" distB="0" distL="114300" distR="114300" simplePos="0" relativeHeight="251662336" behindDoc="1" locked="0" layoutInCell="1" allowOverlap="1" wp14:anchorId="470E0382" wp14:editId="7FA97CC5">
              <wp:simplePos x="0" y="0"/>
              <wp:positionH relativeFrom="column">
                <wp:posOffset>2790825</wp:posOffset>
              </wp:positionH>
              <wp:positionV relativeFrom="paragraph">
                <wp:posOffset>3383280</wp:posOffset>
              </wp:positionV>
              <wp:extent cx="5105400" cy="790575"/>
              <wp:effectExtent l="0" t="0" r="0"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r w:rsidRPr="00163255">
          <w:rPr>
            <w:rFonts w:ascii="Arial" w:hAnsi="Arial" w:cs="Arial"/>
            <w:sz w:val="18"/>
            <w:szCs w:val="18"/>
          </w:rPr>
          <w:fldChar w:fldCharType="begin"/>
        </w:r>
        <w:r w:rsidRPr="00163255">
          <w:rPr>
            <w:rFonts w:ascii="Arial" w:hAnsi="Arial" w:cs="Arial"/>
            <w:sz w:val="18"/>
            <w:szCs w:val="18"/>
          </w:rPr>
          <w:instrText>PAGE   \* MERGEFORMAT</w:instrText>
        </w:r>
        <w:r w:rsidRPr="00163255">
          <w:rPr>
            <w:rFonts w:ascii="Arial" w:hAnsi="Arial" w:cs="Arial"/>
            <w:sz w:val="18"/>
            <w:szCs w:val="18"/>
          </w:rPr>
          <w:fldChar w:fldCharType="separate"/>
        </w:r>
        <w:r w:rsidRPr="00163255">
          <w:rPr>
            <w:rFonts w:ascii="Arial" w:hAnsi="Arial" w:cs="Arial"/>
            <w:sz w:val="18"/>
            <w:szCs w:val="18"/>
          </w:rPr>
          <w:t>2</w:t>
        </w:r>
        <w:r w:rsidRPr="00163255">
          <w:rPr>
            <w:rFonts w:ascii="Arial" w:hAnsi="Arial" w:cs="Arial"/>
            <w:sz w:val="18"/>
            <w:szCs w:val="18"/>
          </w:rPr>
          <w:fldChar w:fldCharType="end"/>
        </w:r>
      </w:p>
    </w:sdtContent>
  </w:sdt>
  <w:p w14:paraId="582ED553" w14:textId="77777777" w:rsidR="00004F15" w:rsidRDefault="00004F15" w:rsidP="00004F15">
    <w:pPr>
      <w:pStyle w:val="Alatunniste"/>
      <w:tabs>
        <w:tab w:val="clear" w:pos="4819"/>
        <w:tab w:val="clear" w:pos="9638"/>
        <w:tab w:val="left" w:pos="5920"/>
      </w:tabs>
    </w:pPr>
    <w:r>
      <w:rPr>
        <w:noProof/>
      </w:rPr>
      <w:drawing>
        <wp:anchor distT="0" distB="0" distL="114300" distR="114300" simplePos="0" relativeHeight="251661312" behindDoc="1" locked="0" layoutInCell="1" allowOverlap="1" wp14:anchorId="24249D03" wp14:editId="2BA830EA">
          <wp:simplePos x="0" y="0"/>
          <wp:positionH relativeFrom="column">
            <wp:posOffset>1227455</wp:posOffset>
          </wp:positionH>
          <wp:positionV relativeFrom="paragraph">
            <wp:posOffset>4951095</wp:posOffset>
          </wp:positionV>
          <wp:extent cx="5105400" cy="790575"/>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E695D04" wp14:editId="5B2264C1">
          <wp:simplePos x="0" y="0"/>
          <wp:positionH relativeFrom="column">
            <wp:posOffset>1227455</wp:posOffset>
          </wp:positionH>
          <wp:positionV relativeFrom="paragraph">
            <wp:posOffset>4951095</wp:posOffset>
          </wp:positionV>
          <wp:extent cx="5105400" cy="790575"/>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7C55A" w14:textId="77777777" w:rsidR="00004F15" w:rsidRDefault="00004F15" w:rsidP="00DF3B06">
      <w:pPr>
        <w:spacing w:after="0" w:line="240" w:lineRule="auto"/>
      </w:pPr>
      <w:r>
        <w:separator/>
      </w:r>
    </w:p>
  </w:footnote>
  <w:footnote w:type="continuationSeparator" w:id="0">
    <w:p w14:paraId="33E59A6C" w14:textId="77777777" w:rsidR="00004F15" w:rsidRDefault="00004F15" w:rsidP="00DF3B06">
      <w:pPr>
        <w:spacing w:after="0" w:line="240" w:lineRule="auto"/>
      </w:pPr>
      <w:r>
        <w:continuationSeparator/>
      </w:r>
    </w:p>
  </w:footnote>
  <w:footnote w:id="1">
    <w:p w14:paraId="4397A124" w14:textId="5D6EE3E7" w:rsidR="00BD64A2" w:rsidRDefault="00BD64A2">
      <w:pPr>
        <w:pStyle w:val="Alaviitteenteksti"/>
      </w:pPr>
      <w:r>
        <w:rPr>
          <w:rStyle w:val="Alaviitteenviite"/>
        </w:rPr>
        <w:footnoteRef/>
      </w:r>
      <w:r>
        <w:t xml:space="preserve"> </w:t>
      </w:r>
      <w:hyperlink r:id="rId1" w:history="1">
        <w:r w:rsidRPr="00BD64A2">
          <w:rPr>
            <w:rStyle w:val="Hyperlinkki"/>
            <w:sz w:val="18"/>
            <w:szCs w:val="18"/>
          </w:rPr>
          <w:t>https://rm.coe.int/findings-2021-en/1680a5eed8</w:t>
        </w:r>
      </w:hyperlink>
      <w:r w:rsidRPr="00BD64A2">
        <w:rPr>
          <w:sz w:val="18"/>
          <w:szCs w:val="18"/>
        </w:rPr>
        <w:t xml:space="preserve"> </w:t>
      </w:r>
    </w:p>
  </w:footnote>
  <w:footnote w:id="2">
    <w:p w14:paraId="7A77D222" w14:textId="01079252" w:rsidR="00BD64A2" w:rsidRDefault="00BD64A2">
      <w:pPr>
        <w:pStyle w:val="Alaviitteenteksti"/>
      </w:pPr>
      <w:r>
        <w:rPr>
          <w:rStyle w:val="Alaviitteenviite"/>
        </w:rPr>
        <w:footnoteRef/>
      </w:r>
      <w:r>
        <w:t xml:space="preserve"> </w:t>
      </w:r>
      <w:hyperlink r:id="rId2" w:history="1">
        <w:r w:rsidRPr="00BD64A2">
          <w:rPr>
            <w:rStyle w:val="Hyperlinkki"/>
            <w:sz w:val="18"/>
            <w:szCs w:val="18"/>
          </w:rPr>
          <w:t>https://www.coe.int/en/web/european-social-charter/processed-complaints/-/asset_publisher/5GEFkJmH2bYG/content/no-129-2016-university-women-of-europe-uwe-v-finland</w:t>
        </w:r>
      </w:hyperlink>
      <w:r w:rsidRPr="00BD64A2">
        <w:rPr>
          <w:sz w:val="18"/>
          <w:szCs w:val="18"/>
        </w:rPr>
        <w:t xml:space="preserve">? </w:t>
      </w:r>
    </w:p>
  </w:footnote>
  <w:footnote w:id="3">
    <w:p w14:paraId="7938B29E" w14:textId="5144A08D" w:rsidR="00BD64A2" w:rsidRDefault="00BD64A2">
      <w:pPr>
        <w:pStyle w:val="Alaviitteenteksti"/>
      </w:pPr>
      <w:r>
        <w:rPr>
          <w:rStyle w:val="Alaviitteenviite"/>
        </w:rPr>
        <w:footnoteRef/>
      </w:r>
      <w:r>
        <w:t xml:space="preserve"> </w:t>
      </w:r>
      <w:hyperlink r:id="rId3" w:history="1">
        <w:r w:rsidRPr="00BD64A2">
          <w:rPr>
            <w:rStyle w:val="Hyperlinkki"/>
            <w:sz w:val="18"/>
            <w:szCs w:val="18"/>
          </w:rPr>
          <w:t>https://www.coe.int/en/web/european-social-charter/processed-complaints/-/asset_publisher/5GEFkJmH2bYG/content/no-139-2016-central-union-for-child-welfare-cucw-v-finland?inheritRedirect=false</w:t>
        </w:r>
      </w:hyperlink>
      <w:r w:rsidRPr="00BD64A2">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5C7C" w14:textId="38D72931" w:rsidR="00004F15" w:rsidRDefault="00004F15">
    <w:pPr>
      <w:pStyle w:val="Yltunniste"/>
    </w:pPr>
    <w:r w:rsidRPr="009733C3">
      <w:rPr>
        <w:rFonts w:ascii="Arial" w:eastAsia="Arial" w:hAnsi="Arial" w:cs="Times New Roman"/>
        <w:noProof/>
        <w:color w:val="000000"/>
        <w:sz w:val="18"/>
        <w:lang w:eastAsia="fi-FI"/>
      </w:rPr>
      <w:drawing>
        <wp:anchor distT="0" distB="0" distL="114300" distR="114300" simplePos="0" relativeHeight="251659264" behindDoc="1" locked="0" layoutInCell="1" allowOverlap="1" wp14:anchorId="05FCBF53" wp14:editId="4C448042">
          <wp:simplePos x="0" y="0"/>
          <wp:positionH relativeFrom="column">
            <wp:posOffset>1530350</wp:posOffset>
          </wp:positionH>
          <wp:positionV relativeFrom="paragraph">
            <wp:posOffset>-722630</wp:posOffset>
          </wp:positionV>
          <wp:extent cx="7559675" cy="849630"/>
          <wp:effectExtent l="0" t="0" r="0" b="762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B68C3">
      <w:t>Updated</w:t>
    </w:r>
    <w:proofErr w:type="spellEnd"/>
    <w:r w:rsidR="00FB68C3">
      <w:t xml:space="preserve"> </w:t>
    </w:r>
    <w:r w:rsidR="00103C1E">
      <w:t>2</w:t>
    </w:r>
    <w:r w:rsidR="00DB3602">
      <w:t>4</w:t>
    </w:r>
    <w:r w:rsidR="00FB68C3">
      <w:t>.1.2023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B66"/>
    <w:multiLevelType w:val="hybridMultilevel"/>
    <w:tmpl w:val="98B82F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61807B1"/>
    <w:multiLevelType w:val="hybridMultilevel"/>
    <w:tmpl w:val="A9F4A3DE"/>
    <w:lvl w:ilvl="0" w:tplc="8812A6A6">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D794F30"/>
    <w:multiLevelType w:val="hybridMultilevel"/>
    <w:tmpl w:val="2D381686"/>
    <w:lvl w:ilvl="0" w:tplc="B35EA59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7373624"/>
    <w:multiLevelType w:val="hybridMultilevel"/>
    <w:tmpl w:val="282C7FA2"/>
    <w:lvl w:ilvl="0" w:tplc="06928FD4">
      <w:start w:val="3"/>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B192A40"/>
    <w:multiLevelType w:val="hybridMultilevel"/>
    <w:tmpl w:val="0518C0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E483D16"/>
    <w:multiLevelType w:val="hybridMultilevel"/>
    <w:tmpl w:val="A6F6A3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3D35ACB"/>
    <w:multiLevelType w:val="hybridMultilevel"/>
    <w:tmpl w:val="42DC42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8A14464"/>
    <w:multiLevelType w:val="hybridMultilevel"/>
    <w:tmpl w:val="0C2414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0413752"/>
    <w:multiLevelType w:val="hybridMultilevel"/>
    <w:tmpl w:val="541628A4"/>
    <w:lvl w:ilvl="0" w:tplc="8A985F46">
      <w:start w:val="3"/>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5092B11"/>
    <w:multiLevelType w:val="hybridMultilevel"/>
    <w:tmpl w:val="68085EEE"/>
    <w:lvl w:ilvl="0" w:tplc="C0C02D26">
      <w:start w:val="20"/>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5D71F20"/>
    <w:multiLevelType w:val="hybridMultilevel"/>
    <w:tmpl w:val="1D664894"/>
    <w:lvl w:ilvl="0" w:tplc="B4E0836A">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7276A54"/>
    <w:multiLevelType w:val="hybridMultilevel"/>
    <w:tmpl w:val="D29C4376"/>
    <w:lvl w:ilvl="0" w:tplc="FA10BF28">
      <w:start w:val="1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9A62AA6"/>
    <w:multiLevelType w:val="hybridMultilevel"/>
    <w:tmpl w:val="C546AA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3453A7F"/>
    <w:multiLevelType w:val="hybridMultilevel"/>
    <w:tmpl w:val="045CB6FE"/>
    <w:lvl w:ilvl="0" w:tplc="7E8A13EE">
      <w:start w:val="1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42F5126"/>
    <w:multiLevelType w:val="hybridMultilevel"/>
    <w:tmpl w:val="E35033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8142DBE"/>
    <w:multiLevelType w:val="hybridMultilevel"/>
    <w:tmpl w:val="BAA84086"/>
    <w:lvl w:ilvl="0" w:tplc="58CC19EC">
      <w:start w:val="5"/>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33530C8"/>
    <w:multiLevelType w:val="hybridMultilevel"/>
    <w:tmpl w:val="85C8DAFE"/>
    <w:lvl w:ilvl="0" w:tplc="CEA4F17A">
      <w:start w:val="3"/>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5AF456D"/>
    <w:multiLevelType w:val="hybridMultilevel"/>
    <w:tmpl w:val="724063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89E3AFF"/>
    <w:multiLevelType w:val="hybridMultilevel"/>
    <w:tmpl w:val="86365A1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A521586"/>
    <w:multiLevelType w:val="hybridMultilevel"/>
    <w:tmpl w:val="15BC4628"/>
    <w:lvl w:ilvl="0" w:tplc="06F64E74">
      <w:start w:val="3"/>
      <w:numFmt w:val="bullet"/>
      <w:lvlText w:val="-"/>
      <w:lvlJc w:val="left"/>
      <w:pPr>
        <w:ind w:left="360" w:hanging="360"/>
      </w:pPr>
      <w:rPr>
        <w:rFonts w:ascii="Arial" w:eastAsiaTheme="minorHAns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6AC42D3C"/>
    <w:multiLevelType w:val="hybridMultilevel"/>
    <w:tmpl w:val="18F4CE1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15:restartNumberingAfterBreak="0">
    <w:nsid w:val="6C7C1759"/>
    <w:multiLevelType w:val="hybridMultilevel"/>
    <w:tmpl w:val="D9E83CB4"/>
    <w:lvl w:ilvl="0" w:tplc="36D27D4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DCF6733"/>
    <w:multiLevelType w:val="hybridMultilevel"/>
    <w:tmpl w:val="0A2A4E42"/>
    <w:lvl w:ilvl="0" w:tplc="3CF0330E">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0680996"/>
    <w:multiLevelType w:val="hybridMultilevel"/>
    <w:tmpl w:val="6806210C"/>
    <w:lvl w:ilvl="0" w:tplc="6A0A7A6E">
      <w:start w:val="3"/>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89964B4"/>
    <w:multiLevelType w:val="hybridMultilevel"/>
    <w:tmpl w:val="C1A4675C"/>
    <w:lvl w:ilvl="0" w:tplc="F9142A36">
      <w:start w:val="3"/>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326664839">
    <w:abstractNumId w:val="5"/>
  </w:num>
  <w:num w:numId="2" w16cid:durableId="168715081">
    <w:abstractNumId w:val="18"/>
  </w:num>
  <w:num w:numId="3" w16cid:durableId="2132088652">
    <w:abstractNumId w:val="4"/>
  </w:num>
  <w:num w:numId="4" w16cid:durableId="931278473">
    <w:abstractNumId w:val="12"/>
  </w:num>
  <w:num w:numId="5" w16cid:durableId="408038918">
    <w:abstractNumId w:val="7"/>
  </w:num>
  <w:num w:numId="6" w16cid:durableId="1997300248">
    <w:abstractNumId w:val="9"/>
  </w:num>
  <w:num w:numId="7" w16cid:durableId="165756398">
    <w:abstractNumId w:val="17"/>
  </w:num>
  <w:num w:numId="8" w16cid:durableId="1815953109">
    <w:abstractNumId w:val="13"/>
  </w:num>
  <w:num w:numId="9" w16cid:durableId="2108186587">
    <w:abstractNumId w:val="20"/>
  </w:num>
  <w:num w:numId="10" w16cid:durableId="2029133367">
    <w:abstractNumId w:val="14"/>
  </w:num>
  <w:num w:numId="11" w16cid:durableId="1458715056">
    <w:abstractNumId w:val="11"/>
  </w:num>
  <w:num w:numId="12" w16cid:durableId="320500427">
    <w:abstractNumId w:val="6"/>
  </w:num>
  <w:num w:numId="13" w16cid:durableId="572353442">
    <w:abstractNumId w:val="0"/>
  </w:num>
  <w:num w:numId="14" w16cid:durableId="1518344824">
    <w:abstractNumId w:val="22"/>
  </w:num>
  <w:num w:numId="15" w16cid:durableId="681469170">
    <w:abstractNumId w:val="2"/>
  </w:num>
  <w:num w:numId="16" w16cid:durableId="974339119">
    <w:abstractNumId w:val="21"/>
  </w:num>
  <w:num w:numId="17" w16cid:durableId="855732816">
    <w:abstractNumId w:val="1"/>
  </w:num>
  <w:num w:numId="18" w16cid:durableId="68843983">
    <w:abstractNumId w:val="10"/>
  </w:num>
  <w:num w:numId="19" w16cid:durableId="981080576">
    <w:abstractNumId w:val="15"/>
  </w:num>
  <w:num w:numId="20" w16cid:durableId="1740400188">
    <w:abstractNumId w:val="16"/>
  </w:num>
  <w:num w:numId="21" w16cid:durableId="1390500102">
    <w:abstractNumId w:val="24"/>
  </w:num>
  <w:num w:numId="22" w16cid:durableId="1695034490">
    <w:abstractNumId w:val="3"/>
  </w:num>
  <w:num w:numId="23" w16cid:durableId="1110589757">
    <w:abstractNumId w:val="19"/>
  </w:num>
  <w:num w:numId="24" w16cid:durableId="300817714">
    <w:abstractNumId w:val="8"/>
  </w:num>
  <w:num w:numId="25" w16cid:durableId="133622332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97"/>
    <w:rsid w:val="00001EEF"/>
    <w:rsid w:val="00004F15"/>
    <w:rsid w:val="00025ACC"/>
    <w:rsid w:val="00042CCE"/>
    <w:rsid w:val="000445B5"/>
    <w:rsid w:val="00055F7E"/>
    <w:rsid w:val="000568B0"/>
    <w:rsid w:val="00061B7E"/>
    <w:rsid w:val="000718CA"/>
    <w:rsid w:val="000A118E"/>
    <w:rsid w:val="000A3EDD"/>
    <w:rsid w:val="000F2C7A"/>
    <w:rsid w:val="00103C1E"/>
    <w:rsid w:val="00115CA0"/>
    <w:rsid w:val="001A439D"/>
    <w:rsid w:val="001B2600"/>
    <w:rsid w:val="001B3534"/>
    <w:rsid w:val="001E6A56"/>
    <w:rsid w:val="00204E06"/>
    <w:rsid w:val="00263186"/>
    <w:rsid w:val="00277788"/>
    <w:rsid w:val="00277DF1"/>
    <w:rsid w:val="00281931"/>
    <w:rsid w:val="002C08DD"/>
    <w:rsid w:val="002C6C42"/>
    <w:rsid w:val="002D3C22"/>
    <w:rsid w:val="003032C5"/>
    <w:rsid w:val="00350B98"/>
    <w:rsid w:val="00361DC2"/>
    <w:rsid w:val="003C3C64"/>
    <w:rsid w:val="003F5F58"/>
    <w:rsid w:val="00414B7C"/>
    <w:rsid w:val="0042771C"/>
    <w:rsid w:val="00451510"/>
    <w:rsid w:val="004614B2"/>
    <w:rsid w:val="004823D7"/>
    <w:rsid w:val="00491E3B"/>
    <w:rsid w:val="00496DB7"/>
    <w:rsid w:val="004E4A14"/>
    <w:rsid w:val="00507778"/>
    <w:rsid w:val="00541588"/>
    <w:rsid w:val="0056012F"/>
    <w:rsid w:val="005B7DCF"/>
    <w:rsid w:val="005E1D37"/>
    <w:rsid w:val="005E3D10"/>
    <w:rsid w:val="005F26B9"/>
    <w:rsid w:val="005F7444"/>
    <w:rsid w:val="006272B3"/>
    <w:rsid w:val="00644C6D"/>
    <w:rsid w:val="006719AB"/>
    <w:rsid w:val="0068181C"/>
    <w:rsid w:val="006C7227"/>
    <w:rsid w:val="007107D8"/>
    <w:rsid w:val="0072653D"/>
    <w:rsid w:val="00737224"/>
    <w:rsid w:val="0076057C"/>
    <w:rsid w:val="007866E0"/>
    <w:rsid w:val="007B3429"/>
    <w:rsid w:val="007E68B7"/>
    <w:rsid w:val="0080320A"/>
    <w:rsid w:val="00810597"/>
    <w:rsid w:val="00815BCC"/>
    <w:rsid w:val="00817BE3"/>
    <w:rsid w:val="00820874"/>
    <w:rsid w:val="0082311E"/>
    <w:rsid w:val="00854568"/>
    <w:rsid w:val="0086505A"/>
    <w:rsid w:val="00872F99"/>
    <w:rsid w:val="00893DC5"/>
    <w:rsid w:val="008A491F"/>
    <w:rsid w:val="008A5BE3"/>
    <w:rsid w:val="008C0A9C"/>
    <w:rsid w:val="008D7904"/>
    <w:rsid w:val="008E2F55"/>
    <w:rsid w:val="00903FE0"/>
    <w:rsid w:val="009179FB"/>
    <w:rsid w:val="00923527"/>
    <w:rsid w:val="009E367A"/>
    <w:rsid w:val="00A90EAB"/>
    <w:rsid w:val="00AA1F69"/>
    <w:rsid w:val="00AB4D4D"/>
    <w:rsid w:val="00AE7CF5"/>
    <w:rsid w:val="00B272CC"/>
    <w:rsid w:val="00B37371"/>
    <w:rsid w:val="00B639FC"/>
    <w:rsid w:val="00B958A6"/>
    <w:rsid w:val="00BA0D7A"/>
    <w:rsid w:val="00BB517A"/>
    <w:rsid w:val="00BC73B3"/>
    <w:rsid w:val="00BD64A2"/>
    <w:rsid w:val="00C01361"/>
    <w:rsid w:val="00C411DF"/>
    <w:rsid w:val="00C5158C"/>
    <w:rsid w:val="00C75B8C"/>
    <w:rsid w:val="00C905A8"/>
    <w:rsid w:val="00C95460"/>
    <w:rsid w:val="00C95F6A"/>
    <w:rsid w:val="00CB72FC"/>
    <w:rsid w:val="00CC2E07"/>
    <w:rsid w:val="00D50459"/>
    <w:rsid w:val="00D55498"/>
    <w:rsid w:val="00D56445"/>
    <w:rsid w:val="00D70C41"/>
    <w:rsid w:val="00D76144"/>
    <w:rsid w:val="00DB3602"/>
    <w:rsid w:val="00DD24D3"/>
    <w:rsid w:val="00DF3B06"/>
    <w:rsid w:val="00DF66D0"/>
    <w:rsid w:val="00E80283"/>
    <w:rsid w:val="00E968CF"/>
    <w:rsid w:val="00EA4676"/>
    <w:rsid w:val="00EB3C17"/>
    <w:rsid w:val="00EB43E8"/>
    <w:rsid w:val="00EC5045"/>
    <w:rsid w:val="00EF1324"/>
    <w:rsid w:val="00F03B97"/>
    <w:rsid w:val="00F23405"/>
    <w:rsid w:val="00F2629B"/>
    <w:rsid w:val="00F31713"/>
    <w:rsid w:val="00F417D0"/>
    <w:rsid w:val="00F47B43"/>
    <w:rsid w:val="00F61F0C"/>
    <w:rsid w:val="00F82780"/>
    <w:rsid w:val="00FB68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72015CE"/>
  <w15:chartTrackingRefBased/>
  <w15:docId w15:val="{3EF258B2-D2A2-4CD3-BCC5-A9018D9F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81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81059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10597"/>
  </w:style>
  <w:style w:type="paragraph" w:styleId="Alatunniste">
    <w:name w:val="footer"/>
    <w:basedOn w:val="Normaali"/>
    <w:link w:val="AlatunnisteChar"/>
    <w:uiPriority w:val="99"/>
    <w:unhideWhenUsed/>
    <w:rsid w:val="0081059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10597"/>
  </w:style>
  <w:style w:type="character" w:styleId="Hyperlinkki">
    <w:name w:val="Hyperlink"/>
    <w:basedOn w:val="Kappaleenoletusfontti"/>
    <w:uiPriority w:val="99"/>
    <w:unhideWhenUsed/>
    <w:rsid w:val="00810597"/>
    <w:rPr>
      <w:color w:val="0563C1" w:themeColor="hyperlink"/>
      <w:u w:val="single"/>
    </w:rPr>
  </w:style>
  <w:style w:type="character" w:styleId="Ratkaisematonmaininta">
    <w:name w:val="Unresolved Mention"/>
    <w:basedOn w:val="Kappaleenoletusfontti"/>
    <w:uiPriority w:val="99"/>
    <w:semiHidden/>
    <w:unhideWhenUsed/>
    <w:rsid w:val="00810597"/>
    <w:rPr>
      <w:color w:val="605E5C"/>
      <w:shd w:val="clear" w:color="auto" w:fill="E1DFDD"/>
    </w:rPr>
  </w:style>
  <w:style w:type="character" w:styleId="AvattuHyperlinkki">
    <w:name w:val="FollowedHyperlink"/>
    <w:basedOn w:val="Kappaleenoletusfontti"/>
    <w:uiPriority w:val="99"/>
    <w:semiHidden/>
    <w:unhideWhenUsed/>
    <w:rsid w:val="00923527"/>
    <w:rPr>
      <w:color w:val="954F72" w:themeColor="followedHyperlink"/>
      <w:u w:val="single"/>
    </w:rPr>
  </w:style>
  <w:style w:type="paragraph" w:styleId="Luettelokappale">
    <w:name w:val="List Paragraph"/>
    <w:basedOn w:val="Normaali"/>
    <w:uiPriority w:val="34"/>
    <w:qFormat/>
    <w:rsid w:val="00281931"/>
    <w:pPr>
      <w:ind w:left="720"/>
      <w:contextualSpacing/>
    </w:pPr>
  </w:style>
  <w:style w:type="character" w:styleId="Kommentinviite">
    <w:name w:val="annotation reference"/>
    <w:basedOn w:val="Kappaleenoletusfontti"/>
    <w:uiPriority w:val="99"/>
    <w:semiHidden/>
    <w:unhideWhenUsed/>
    <w:rsid w:val="007866E0"/>
    <w:rPr>
      <w:sz w:val="16"/>
      <w:szCs w:val="16"/>
    </w:rPr>
  </w:style>
  <w:style w:type="paragraph" w:styleId="Kommentinteksti">
    <w:name w:val="annotation text"/>
    <w:basedOn w:val="Normaali"/>
    <w:link w:val="KommentintekstiChar"/>
    <w:uiPriority w:val="99"/>
    <w:semiHidden/>
    <w:unhideWhenUsed/>
    <w:rsid w:val="007866E0"/>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866E0"/>
    <w:rPr>
      <w:sz w:val="20"/>
      <w:szCs w:val="20"/>
    </w:rPr>
  </w:style>
  <w:style w:type="paragraph" w:styleId="Kommentinotsikko">
    <w:name w:val="annotation subject"/>
    <w:basedOn w:val="Kommentinteksti"/>
    <w:next w:val="Kommentinteksti"/>
    <w:link w:val="KommentinotsikkoChar"/>
    <w:uiPriority w:val="99"/>
    <w:semiHidden/>
    <w:unhideWhenUsed/>
    <w:rsid w:val="007866E0"/>
    <w:rPr>
      <w:b/>
      <w:bCs/>
    </w:rPr>
  </w:style>
  <w:style w:type="character" w:customStyle="1" w:styleId="KommentinotsikkoChar">
    <w:name w:val="Kommentin otsikko Char"/>
    <w:basedOn w:val="KommentintekstiChar"/>
    <w:link w:val="Kommentinotsikko"/>
    <w:uiPriority w:val="99"/>
    <w:semiHidden/>
    <w:rsid w:val="007866E0"/>
    <w:rPr>
      <w:b/>
      <w:bCs/>
      <w:sz w:val="20"/>
      <w:szCs w:val="20"/>
    </w:rPr>
  </w:style>
  <w:style w:type="paragraph" w:styleId="Seliteteksti">
    <w:name w:val="Balloon Text"/>
    <w:basedOn w:val="Normaali"/>
    <w:link w:val="SelitetekstiChar"/>
    <w:uiPriority w:val="99"/>
    <w:semiHidden/>
    <w:unhideWhenUsed/>
    <w:rsid w:val="007866E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866E0"/>
    <w:rPr>
      <w:rFonts w:ascii="Segoe UI" w:hAnsi="Segoe UI" w:cs="Segoe UI"/>
      <w:sz w:val="18"/>
      <w:szCs w:val="18"/>
    </w:rPr>
  </w:style>
  <w:style w:type="paragraph" w:styleId="Alaviitteenteksti">
    <w:name w:val="footnote text"/>
    <w:basedOn w:val="Normaali"/>
    <w:link w:val="AlaviitteentekstiChar"/>
    <w:uiPriority w:val="99"/>
    <w:semiHidden/>
    <w:unhideWhenUsed/>
    <w:rsid w:val="001B2600"/>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1B2600"/>
    <w:rPr>
      <w:sz w:val="20"/>
      <w:szCs w:val="20"/>
    </w:rPr>
  </w:style>
  <w:style w:type="character" w:styleId="Alaviitteenviite">
    <w:name w:val="footnote reference"/>
    <w:basedOn w:val="Kappaleenoletusfontti"/>
    <w:uiPriority w:val="99"/>
    <w:semiHidden/>
    <w:unhideWhenUsed/>
    <w:rsid w:val="001B26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18877">
      <w:bodyDiv w:val="1"/>
      <w:marLeft w:val="0"/>
      <w:marRight w:val="0"/>
      <w:marTop w:val="0"/>
      <w:marBottom w:val="0"/>
      <w:divBdr>
        <w:top w:val="none" w:sz="0" w:space="0" w:color="auto"/>
        <w:left w:val="none" w:sz="0" w:space="0" w:color="auto"/>
        <w:bottom w:val="none" w:sz="0" w:space="0" w:color="auto"/>
        <w:right w:val="none" w:sz="0" w:space="0" w:color="auto"/>
      </w:divBdr>
    </w:div>
    <w:div w:id="1038622622">
      <w:bodyDiv w:val="1"/>
      <w:marLeft w:val="0"/>
      <w:marRight w:val="0"/>
      <w:marTop w:val="0"/>
      <w:marBottom w:val="0"/>
      <w:divBdr>
        <w:top w:val="none" w:sz="0" w:space="0" w:color="auto"/>
        <w:left w:val="none" w:sz="0" w:space="0" w:color="auto"/>
        <w:bottom w:val="none" w:sz="0" w:space="0" w:color="auto"/>
        <w:right w:val="none" w:sz="0" w:space="0" w:color="auto"/>
      </w:divBdr>
    </w:div>
    <w:div w:id="1369378942">
      <w:bodyDiv w:val="1"/>
      <w:marLeft w:val="0"/>
      <w:marRight w:val="0"/>
      <w:marTop w:val="0"/>
      <w:marBottom w:val="0"/>
      <w:divBdr>
        <w:top w:val="none" w:sz="0" w:space="0" w:color="auto"/>
        <w:left w:val="none" w:sz="0" w:space="0" w:color="auto"/>
        <w:bottom w:val="none" w:sz="0" w:space="0" w:color="auto"/>
        <w:right w:val="none" w:sz="0" w:space="0" w:color="auto"/>
      </w:divBdr>
    </w:div>
    <w:div w:id="1554149243">
      <w:bodyDiv w:val="1"/>
      <w:marLeft w:val="0"/>
      <w:marRight w:val="0"/>
      <w:marTop w:val="0"/>
      <w:marBottom w:val="0"/>
      <w:divBdr>
        <w:top w:val="none" w:sz="0" w:space="0" w:color="auto"/>
        <w:left w:val="none" w:sz="0" w:space="0" w:color="auto"/>
        <w:bottom w:val="none" w:sz="0" w:space="0" w:color="auto"/>
        <w:right w:val="none" w:sz="0" w:space="0" w:color="auto"/>
      </w:divBdr>
    </w:div>
    <w:div w:id="2043899943">
      <w:bodyDiv w:val="1"/>
      <w:marLeft w:val="0"/>
      <w:marRight w:val="0"/>
      <w:marTop w:val="0"/>
      <w:marBottom w:val="0"/>
      <w:divBdr>
        <w:top w:val="none" w:sz="0" w:space="0" w:color="auto"/>
        <w:left w:val="none" w:sz="0" w:space="0" w:color="auto"/>
        <w:bottom w:val="none" w:sz="0" w:space="0" w:color="auto"/>
        <w:right w:val="none" w:sz="0" w:space="0" w:color="auto"/>
      </w:divBdr>
    </w:div>
    <w:div w:id="214122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ObjectId=0900001680a1d2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arch.coe.int/cm/Pages/result_details.aspx?ObjectId=09000016809ce4e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coe.int/en/web/european-social-charter/processed-complaints/-/asset_publisher/5GEFkJmH2bYG/content/no-139-2016-central-union-for-child-welfare-cucw-v-finland?inheritRedirect=false" TargetMode="External"/><Relationship Id="rId2" Type="http://schemas.openxmlformats.org/officeDocument/2006/relationships/hyperlink" Target="https://www.coe.int/en/web/european-social-charter/processed-complaints/-/asset_publisher/5GEFkJmH2bYG/content/no-129-2016-university-women-of-europe-uwe-v-finland" TargetMode="External"/><Relationship Id="rId1" Type="http://schemas.openxmlformats.org/officeDocument/2006/relationships/hyperlink" Target="https://rm.coe.int/findings-2021-en/1680a5eed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48CBF-9881-4F6A-90C3-F1695678D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1414</Words>
  <Characters>11458</Characters>
  <Application>Microsoft Office Word</Application>
  <DocSecurity>0</DocSecurity>
  <Lines>95</Lines>
  <Paragraphs>25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Hirvi Maija</dc:creator>
  <cp:keywords/>
  <dc:description/>
  <cp:lastModifiedBy>Kupiainen Emmi</cp:lastModifiedBy>
  <cp:revision>3</cp:revision>
  <dcterms:created xsi:type="dcterms:W3CDTF">2023-01-25T14:03:00Z</dcterms:created>
  <dcterms:modified xsi:type="dcterms:W3CDTF">2023-01-25T14:03:00Z</dcterms:modified>
</cp:coreProperties>
</file>