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8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23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1. Toiminnan tulos</w:t>
      </w:r>
    </w:p>
    <w:p>
      <w:pPr>
        <w:pStyle w:val="normal1"/>
        <w:rPr>
          <w:sz w:val="32"/>
          <w:szCs w:val="32"/>
        </w:rPr>
      </w:pPr>
      <w:r>
        <w:rPr>
          <w:sz w:val="32"/>
          <w:szCs w:val="32"/>
        </w:rPr>
        <w:t xml:space="preserve">Yhdistyksen tilikauden tulos oli </w:t>
      </w:r>
      <w:r>
        <w:rPr>
          <w:b/>
          <w:bCs/>
          <w:sz w:val="32"/>
          <w:szCs w:val="32"/>
        </w:rPr>
        <w:t>ylijäämäinen 2 320,46 €</w:t>
      </w:r>
      <w:r>
        <w:rPr>
          <w:sz w:val="32"/>
          <w:szCs w:val="32"/>
        </w:rPr>
        <w:t xml:space="preserve"> (edellisellä kaudella 3 112,70 €).</w:t>
      </w:r>
    </w:p>
    <w:p>
      <w:pPr>
        <w:pStyle w:val="normal1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Varsinainen toiminta</w:t>
      </w:r>
    </w:p>
    <w:p>
      <w:pPr>
        <w:pStyle w:val="normal1"/>
        <w:rPr>
          <w:sz w:val="32"/>
          <w:szCs w:val="32"/>
        </w:rPr>
      </w:pPr>
      <w:r>
        <w:rPr>
          <w:sz w:val="32"/>
          <w:szCs w:val="32"/>
        </w:rPr>
        <w:t>Varsinaisen toiminnan kulut olivat:</w:t>
      </w:r>
    </w:p>
    <w:p>
      <w:pPr>
        <w:pStyle w:val="normal1"/>
        <w:numPr>
          <w:ilvl w:val="0"/>
          <w:numId w:val="1"/>
        </w:numPr>
        <w:ind w:hanging="360" w:start="720"/>
        <w:rPr>
          <w:sz w:val="28"/>
          <w:szCs w:val="28"/>
        </w:rPr>
      </w:pPr>
      <w:r>
        <w:rPr>
          <w:b/>
          <w:bCs/>
          <w:sz w:val="32"/>
          <w:szCs w:val="32"/>
        </w:rPr>
        <w:t>-9 454,75 €</w:t>
      </w:r>
      <w:r>
        <w:rPr>
          <w:sz w:val="32"/>
          <w:szCs w:val="32"/>
        </w:rPr>
        <w:t xml:space="preserve"> (ed. -8 703,06 €)</w:t>
      </w:r>
    </w:p>
    <w:p>
      <w:pPr>
        <w:pStyle w:val="normal1"/>
        <w:numPr>
          <w:ilvl w:val="0"/>
          <w:numId w:val="1"/>
        </w:numPr>
        <w:ind w:hanging="360" w:start="720"/>
        <w:rPr>
          <w:sz w:val="28"/>
          <w:szCs w:val="28"/>
        </w:rPr>
      </w:pPr>
      <w:r>
        <w:rPr>
          <w:b/>
          <w:bCs/>
          <w:sz w:val="32"/>
          <w:szCs w:val="32"/>
        </w:rPr>
        <w:t>Tässä suurimmat erät:</w:t>
      </w:r>
    </w:p>
    <w:p>
      <w:pPr>
        <w:pStyle w:val="normal1"/>
        <w:numPr>
          <w:ilvl w:val="0"/>
          <w:numId w:val="1"/>
        </w:numPr>
        <w:ind w:hanging="360" w:start="720"/>
        <w:rPr>
          <w:sz w:val="28"/>
          <w:szCs w:val="28"/>
        </w:rPr>
      </w:pPr>
      <w:r>
        <w:rPr>
          <w:sz w:val="32"/>
          <w:szCs w:val="32"/>
        </w:rPr>
        <w:t xml:space="preserve">Hallintokulut: </w:t>
      </w:r>
      <w:r>
        <w:rPr>
          <w:b/>
          <w:bCs/>
          <w:sz w:val="32"/>
          <w:szCs w:val="32"/>
        </w:rPr>
        <w:t>-3 765,75 €</w:t>
      </w:r>
      <w:r>
        <w:rPr>
          <w:sz w:val="32"/>
          <w:szCs w:val="32"/>
        </w:rPr>
        <w:t xml:space="preserve"> sisältää hallinnollisen osuuden, viime vuonna luvut olivat varsinaisen toiminnan kuluissa. </w:t>
      </w:r>
    </w:p>
    <w:p>
      <w:pPr>
        <w:pStyle w:val="normal1"/>
        <w:numPr>
          <w:ilvl w:val="0"/>
          <w:numId w:val="1"/>
        </w:numPr>
        <w:ind w:hanging="360" w:start="720"/>
        <w:rPr>
          <w:sz w:val="28"/>
          <w:szCs w:val="28"/>
        </w:rPr>
      </w:pPr>
      <w:r>
        <w:rPr>
          <w:sz w:val="32"/>
          <w:szCs w:val="32"/>
        </w:rPr>
        <w:t xml:space="preserve">Yhtiövastikkeet: </w:t>
      </w:r>
      <w:r>
        <w:rPr>
          <w:b/>
          <w:bCs/>
          <w:sz w:val="32"/>
          <w:szCs w:val="32"/>
        </w:rPr>
        <w:t>-1 987,51 €</w:t>
      </w:r>
      <w:r>
        <w:rPr>
          <w:sz w:val="32"/>
          <w:szCs w:val="32"/>
        </w:rPr>
        <w:t xml:space="preserve"> </w:t>
      </w:r>
    </w:p>
    <w:p>
      <w:pPr>
        <w:pStyle w:val="normal1"/>
        <w:numPr>
          <w:ilvl w:val="0"/>
          <w:numId w:val="1"/>
        </w:numPr>
        <w:ind w:hanging="360" w:start="720"/>
        <w:rPr>
          <w:sz w:val="28"/>
          <w:szCs w:val="28"/>
        </w:rPr>
      </w:pPr>
      <w:r>
        <w:rPr>
          <w:sz w:val="32"/>
          <w:szCs w:val="32"/>
        </w:rPr>
        <w:t xml:space="preserve">Kunnallisvero, jätemaksu (laskuja ei pystytty erittelemään): </w:t>
      </w:r>
      <w:r>
        <w:rPr>
          <w:b/>
          <w:bCs/>
          <w:sz w:val="32"/>
          <w:szCs w:val="32"/>
        </w:rPr>
        <w:t>-1 213,81 €</w:t>
      </w:r>
      <w:r>
        <w:rPr>
          <w:sz w:val="32"/>
          <w:szCs w:val="32"/>
        </w:rPr>
        <w:t xml:space="preserve"> </w:t>
      </w:r>
    </w:p>
    <w:p>
      <w:pPr>
        <w:pStyle w:val="normal1"/>
        <w:numPr>
          <w:ilvl w:val="0"/>
          <w:numId w:val="1"/>
        </w:numPr>
        <w:ind w:hanging="360" w:start="720"/>
        <w:rPr>
          <w:sz w:val="28"/>
          <w:szCs w:val="28"/>
        </w:rPr>
      </w:pPr>
      <w:r>
        <w:rPr>
          <w:sz w:val="32"/>
          <w:szCs w:val="32"/>
        </w:rPr>
        <w:t xml:space="preserve">Sähkö: </w:t>
      </w:r>
      <w:r>
        <w:rPr>
          <w:b/>
          <w:bCs/>
          <w:sz w:val="32"/>
          <w:szCs w:val="32"/>
        </w:rPr>
        <w:t>-904,37 €</w:t>
      </w:r>
      <w:r>
        <w:rPr>
          <w:sz w:val="32"/>
          <w:szCs w:val="32"/>
        </w:rPr>
        <w:t xml:space="preserve"> </w:t>
      </w:r>
    </w:p>
    <w:p>
      <w:pPr>
        <w:pStyle w:val="normal1"/>
        <w:rPr>
          <w:sz w:val="32"/>
          <w:szCs w:val="32"/>
        </w:rPr>
      </w:pPr>
      <w:r>
        <w:rPr>
          <w:sz w:val="32"/>
          <w:szCs w:val="32"/>
        </w:rPr>
        <w:t xml:space="preserve">Varsinainen toiminta oli alijäämäistä, kuten yhdistystoiminnassa on tyypillistä. </w:t>
      </w:r>
    </w:p>
    <w:p>
      <w:pPr>
        <w:pStyle w:val="normal1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Varainhankinta</w:t>
      </w:r>
    </w:p>
    <w:p>
      <w:pPr>
        <w:pStyle w:val="normal1"/>
        <w:rPr>
          <w:sz w:val="32"/>
          <w:szCs w:val="32"/>
        </w:rPr>
      </w:pPr>
      <w:r>
        <w:rPr>
          <w:sz w:val="32"/>
          <w:szCs w:val="32"/>
        </w:rPr>
        <w:t>Varainhankinta oli yhdistyksen keskeinen tulonlähde.</w:t>
      </w:r>
    </w:p>
    <w:p>
      <w:pPr>
        <w:pStyle w:val="normal1"/>
        <w:numPr>
          <w:ilvl w:val="0"/>
          <w:numId w:val="2"/>
        </w:numPr>
        <w:ind w:hanging="360" w:start="720"/>
        <w:rPr>
          <w:sz w:val="28"/>
          <w:szCs w:val="28"/>
        </w:rPr>
      </w:pPr>
      <w:r>
        <w:rPr>
          <w:sz w:val="32"/>
          <w:szCs w:val="32"/>
        </w:rPr>
        <w:t xml:space="preserve">Tuotot: </w:t>
      </w:r>
      <w:r>
        <w:rPr>
          <w:b/>
          <w:bCs/>
          <w:sz w:val="32"/>
          <w:szCs w:val="32"/>
        </w:rPr>
        <w:t>25 107,86 €</w:t>
      </w:r>
      <w:r>
        <w:rPr>
          <w:sz w:val="32"/>
          <w:szCs w:val="32"/>
        </w:rPr>
        <w:t xml:space="preserve"> (ed. 21 610,42 €)</w:t>
      </w:r>
    </w:p>
    <w:p>
      <w:pPr>
        <w:pStyle w:val="normal1"/>
        <w:numPr>
          <w:ilvl w:val="0"/>
          <w:numId w:val="2"/>
        </w:numPr>
        <w:ind w:hanging="360" w:start="720"/>
        <w:rPr>
          <w:sz w:val="28"/>
          <w:szCs w:val="28"/>
        </w:rPr>
      </w:pPr>
      <w:r>
        <w:rPr>
          <w:sz w:val="32"/>
          <w:szCs w:val="32"/>
        </w:rPr>
        <w:t xml:space="preserve">Kulut: </w:t>
      </w:r>
      <w:r>
        <w:rPr>
          <w:b/>
          <w:bCs/>
          <w:sz w:val="32"/>
          <w:szCs w:val="32"/>
        </w:rPr>
        <w:t>-13 332,65 €</w:t>
      </w:r>
      <w:r>
        <w:rPr>
          <w:sz w:val="32"/>
          <w:szCs w:val="32"/>
        </w:rPr>
        <w:t xml:space="preserve"> (ed. -10 096,91 €)</w:t>
      </w:r>
    </w:p>
    <w:p>
      <w:pPr>
        <w:pStyle w:val="normal1"/>
        <w:numPr>
          <w:ilvl w:val="0"/>
          <w:numId w:val="2"/>
        </w:numPr>
        <w:ind w:hanging="360" w:start="720"/>
        <w:rPr>
          <w:sz w:val="28"/>
          <w:szCs w:val="28"/>
        </w:rPr>
      </w:pPr>
      <w:r>
        <w:rPr>
          <w:sz w:val="32"/>
          <w:szCs w:val="32"/>
        </w:rPr>
        <w:t xml:space="preserve">Tulos: </w:t>
      </w:r>
      <w:r>
        <w:rPr>
          <w:b/>
          <w:bCs/>
          <w:sz w:val="32"/>
          <w:szCs w:val="32"/>
        </w:rPr>
        <w:t>+11 775,21 €</w:t>
      </w:r>
      <w:r>
        <w:rPr>
          <w:sz w:val="32"/>
          <w:szCs w:val="32"/>
        </w:rPr>
        <w:t xml:space="preserve"> (ed. +11 513,51 €)</w:t>
      </w:r>
    </w:p>
    <w:p>
      <w:pPr>
        <w:pStyle w:val="normal1"/>
        <w:rPr>
          <w:sz w:val="32"/>
          <w:szCs w:val="32"/>
        </w:rPr>
      </w:pPr>
      <w:r>
        <w:rPr>
          <w:sz w:val="32"/>
          <w:szCs w:val="32"/>
        </w:rPr>
        <w:t>Varainhankinta oli ylijäämäistä ja hieman paremmalla tasolla kuin edellisellä kaudella.</w:t>
      </w:r>
    </w:p>
    <w:p>
      <w:pPr>
        <w:pStyle w:val="normal1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Suurimmat tuotto- ja kuluerät:</w:t>
      </w:r>
    </w:p>
    <w:p>
      <w:pPr>
        <w:pStyle w:val="normal1"/>
        <w:numPr>
          <w:ilvl w:val="0"/>
          <w:numId w:val="10"/>
        </w:numPr>
        <w:ind w:hanging="360" w:start="720"/>
        <w:rPr>
          <w:sz w:val="28"/>
          <w:szCs w:val="28"/>
        </w:rPr>
      </w:pPr>
      <w:r>
        <w:rPr>
          <w:sz w:val="32"/>
          <w:szCs w:val="32"/>
        </w:rPr>
        <w:t xml:space="preserve">Jäsenmaksutuotot: </w:t>
      </w:r>
      <w:r>
        <w:rPr>
          <w:b/>
          <w:bCs/>
          <w:sz w:val="32"/>
          <w:szCs w:val="32"/>
        </w:rPr>
        <w:t>6 270,00 €</w:t>
      </w:r>
      <w:r>
        <w:rPr>
          <w:sz w:val="32"/>
          <w:szCs w:val="32"/>
        </w:rPr>
        <w:t xml:space="preserve"> (ed. 5 040,00 €)</w:t>
      </w:r>
    </w:p>
    <w:p>
      <w:pPr>
        <w:pStyle w:val="normal1"/>
        <w:numPr>
          <w:ilvl w:val="0"/>
          <w:numId w:val="11"/>
        </w:numPr>
        <w:ind w:hanging="360" w:start="720"/>
        <w:rPr>
          <w:sz w:val="28"/>
          <w:szCs w:val="28"/>
        </w:rPr>
      </w:pPr>
      <w:r>
        <w:rPr>
          <w:sz w:val="32"/>
          <w:szCs w:val="32"/>
        </w:rPr>
        <w:t xml:space="preserve">Matkojen tuotot: </w:t>
      </w:r>
      <w:r>
        <w:rPr>
          <w:b/>
          <w:bCs/>
          <w:sz w:val="32"/>
          <w:szCs w:val="32"/>
        </w:rPr>
        <w:t>11 135,00 €</w:t>
      </w:r>
      <w:r>
        <w:rPr>
          <w:sz w:val="32"/>
          <w:szCs w:val="32"/>
        </w:rPr>
        <w:t xml:space="preserve"> (ed. 4 865,00 €) </w:t>
      </w:r>
    </w:p>
    <w:p>
      <w:pPr>
        <w:pStyle w:val="normal1"/>
        <w:numPr>
          <w:ilvl w:val="0"/>
          <w:numId w:val="11"/>
        </w:numPr>
        <w:ind w:hanging="360" w:start="720"/>
        <w:rPr>
          <w:sz w:val="28"/>
          <w:szCs w:val="28"/>
        </w:rPr>
      </w:pPr>
      <w:r>
        <w:rPr>
          <w:sz w:val="32"/>
          <w:szCs w:val="32"/>
        </w:rPr>
        <w:t xml:space="preserve">Matkojen kulut: </w:t>
      </w:r>
      <w:r>
        <w:rPr>
          <w:b/>
          <w:bCs/>
          <w:sz w:val="32"/>
          <w:szCs w:val="32"/>
        </w:rPr>
        <w:t>-9 379,75 €</w:t>
      </w:r>
      <w:r>
        <w:rPr>
          <w:sz w:val="32"/>
          <w:szCs w:val="32"/>
        </w:rPr>
        <w:t xml:space="preserve"> (ed. -4 383,15 €)</w:t>
      </w:r>
    </w:p>
    <w:p>
      <w:pPr>
        <w:pStyle w:val="normal1"/>
        <w:numPr>
          <w:ilvl w:val="0"/>
          <w:numId w:val="10"/>
        </w:numPr>
        <w:ind w:hanging="360" w:start="720"/>
        <w:rPr>
          <w:sz w:val="28"/>
          <w:szCs w:val="28"/>
        </w:rPr>
      </w:pPr>
      <w:r>
        <w:rPr>
          <w:sz w:val="32"/>
          <w:szCs w:val="32"/>
        </w:rPr>
        <w:t xml:space="preserve">Petankituotot: </w:t>
      </w:r>
      <w:r>
        <w:rPr>
          <w:b/>
          <w:bCs/>
          <w:sz w:val="32"/>
          <w:szCs w:val="32"/>
        </w:rPr>
        <w:t>2 909,50 €</w:t>
      </w:r>
      <w:r>
        <w:rPr>
          <w:sz w:val="32"/>
          <w:szCs w:val="32"/>
        </w:rPr>
        <w:t xml:space="preserve"> (ed. 3 194,00 €)</w:t>
      </w:r>
    </w:p>
    <w:p>
      <w:pPr>
        <w:pStyle w:val="normal1"/>
        <w:numPr>
          <w:ilvl w:val="0"/>
          <w:numId w:val="10"/>
        </w:numPr>
        <w:ind w:hanging="360" w:start="720"/>
        <w:rPr>
          <w:sz w:val="28"/>
          <w:szCs w:val="28"/>
        </w:rPr>
      </w:pPr>
      <w:r>
        <w:rPr>
          <w:sz w:val="32"/>
          <w:szCs w:val="32"/>
        </w:rPr>
        <w:t xml:space="preserve">Petankikulut: </w:t>
      </w:r>
      <w:r>
        <w:rPr>
          <w:b/>
          <w:bCs/>
          <w:sz w:val="32"/>
          <w:szCs w:val="32"/>
        </w:rPr>
        <w:t>-1 785,94 €</w:t>
      </w:r>
      <w:r>
        <w:rPr>
          <w:sz w:val="32"/>
          <w:szCs w:val="32"/>
        </w:rPr>
        <w:t xml:space="preserve"> (ed. -1 624,32 €)</w:t>
      </w:r>
    </w:p>
    <w:p>
      <w:pPr>
        <w:pStyle w:val="normal1"/>
        <w:numPr>
          <w:ilvl w:val="0"/>
          <w:numId w:val="10"/>
        </w:numPr>
        <w:ind w:hanging="360" w:start="720"/>
        <w:rPr>
          <w:sz w:val="28"/>
          <w:szCs w:val="28"/>
        </w:rPr>
      </w:pPr>
      <w:r>
        <w:rPr>
          <w:sz w:val="32"/>
          <w:szCs w:val="32"/>
        </w:rPr>
        <w:t xml:space="preserve">Keittiön tuotot: </w:t>
      </w:r>
      <w:r>
        <w:rPr>
          <w:b/>
          <w:bCs/>
          <w:sz w:val="32"/>
          <w:szCs w:val="32"/>
        </w:rPr>
        <w:t>1 626,90 €</w:t>
      </w:r>
      <w:r>
        <w:rPr>
          <w:sz w:val="32"/>
          <w:szCs w:val="32"/>
        </w:rPr>
        <w:t xml:space="preserve"> (ed. 2 364,17 €)</w:t>
      </w:r>
    </w:p>
    <w:p>
      <w:pPr>
        <w:pStyle w:val="normal1"/>
        <w:numPr>
          <w:ilvl w:val="0"/>
          <w:numId w:val="10"/>
        </w:numPr>
        <w:ind w:hanging="360" w:start="720"/>
        <w:rPr>
          <w:sz w:val="28"/>
          <w:szCs w:val="28"/>
        </w:rPr>
      </w:pPr>
      <w:r>
        <w:rPr>
          <w:sz w:val="32"/>
          <w:szCs w:val="32"/>
        </w:rPr>
        <w:t xml:space="preserve">Keittiön kulut: </w:t>
      </w:r>
      <w:r>
        <w:rPr>
          <w:b/>
          <w:bCs/>
          <w:sz w:val="32"/>
          <w:szCs w:val="32"/>
        </w:rPr>
        <w:t>-1 229,96 €</w:t>
      </w:r>
      <w:r>
        <w:rPr>
          <w:sz w:val="32"/>
          <w:szCs w:val="32"/>
        </w:rPr>
        <w:t xml:space="preserve"> (ed. -1 226,44 €)</w:t>
      </w:r>
    </w:p>
    <w:p>
      <w:pPr>
        <w:pStyle w:val="normal1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Tilikauden tulos</w:t>
      </w:r>
    </w:p>
    <w:p>
      <w:pPr>
        <w:pStyle w:val="normal1"/>
        <w:rPr>
          <w:sz w:val="32"/>
          <w:szCs w:val="32"/>
        </w:rPr>
      </w:pPr>
      <w:r>
        <w:rPr>
          <w:sz w:val="32"/>
          <w:szCs w:val="32"/>
        </w:rPr>
        <w:t>Tilikauden ylijäämä:</w:t>
      </w:r>
    </w:p>
    <w:p>
      <w:pPr>
        <w:pStyle w:val="normal1"/>
        <w:numPr>
          <w:ilvl w:val="0"/>
          <w:numId w:val="3"/>
        </w:numPr>
        <w:ind w:hanging="360" w:start="720"/>
        <w:rPr>
          <w:sz w:val="28"/>
          <w:szCs w:val="28"/>
        </w:rPr>
      </w:pPr>
      <w:r>
        <w:rPr>
          <w:b/>
          <w:bCs/>
          <w:sz w:val="32"/>
          <w:szCs w:val="32"/>
        </w:rPr>
        <w:t>2 320,46 €</w:t>
      </w:r>
    </w:p>
    <w:p>
      <w:pPr>
        <w:pStyle w:val="normal1"/>
        <w:rPr>
          <w:sz w:val="32"/>
          <w:szCs w:val="32"/>
        </w:rPr>
      </w:pPr>
      <w:r>
        <w:rPr>
          <w:sz w:val="32"/>
          <w:szCs w:val="32"/>
        </w:rPr>
        <w:t>Ylijäämä on pienempi kuin edellisellä kaudella, mutta toiminta on edelleen taloudellisesti tasapainossa.</w:t>
      </w:r>
    </w:p>
    <w:p>
      <w:pPr>
        <w:pStyle w:val="normal1"/>
        <w:rPr>
          <w:sz w:val="32"/>
          <w:szCs w:val="32"/>
        </w:rPr>
      </w:pPr>
      <w:r>
        <w:rPr/>
        <mc:AlternateContent>
          <mc:Choice Requires="wps">
            <w:drawing>
              <wp:inline distT="0" distB="0" distL="0" distR="0">
                <wp:extent cx="5943600" cy="19050"/>
                <wp:effectExtent l="0" t="0" r="0" b="0"/>
                <wp:docPr id="1" name="Muoto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67.95pt;height:1.45pt;mso-wrap-style:none;v-text-anchor:middle;mso-position-vertical:top">
                <v:fill o:detectmouseclick="t" type="solid" color2="#5f5f5f"/>
                <v:stroke color="#3465a4" joinstyle="round" endcap="flat"/>
                <w10:wrap type="square"/>
              </v:rect>
            </w:pict>
          </mc:Fallback>
        </mc:AlternateContent>
      </w:r>
    </w:p>
    <w:p>
      <w:pPr>
        <w:pStyle w:val="normal1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2. Tase</w:t>
      </w:r>
    </w:p>
    <w:p>
      <w:pPr>
        <w:pStyle w:val="normal1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Vastaavaa (varat)</w:t>
      </w:r>
    </w:p>
    <w:p>
      <w:pPr>
        <w:pStyle w:val="normal1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Pysyvät vastaavat</w:t>
      </w:r>
    </w:p>
    <w:p>
      <w:pPr>
        <w:pStyle w:val="normal1"/>
        <w:numPr>
          <w:ilvl w:val="0"/>
          <w:numId w:val="4"/>
        </w:numPr>
        <w:ind w:hanging="360" w:start="720"/>
        <w:rPr>
          <w:sz w:val="28"/>
          <w:szCs w:val="28"/>
        </w:rPr>
      </w:pPr>
      <w:r>
        <w:rPr>
          <w:sz w:val="32"/>
          <w:szCs w:val="32"/>
        </w:rPr>
        <w:t xml:space="preserve">Rakennukset: </w:t>
      </w:r>
      <w:r>
        <w:rPr>
          <w:b/>
          <w:bCs/>
          <w:sz w:val="32"/>
          <w:szCs w:val="32"/>
        </w:rPr>
        <w:t>87 514,00 €</w:t>
      </w:r>
    </w:p>
    <w:p>
      <w:pPr>
        <w:pStyle w:val="normal1"/>
        <w:rPr>
          <w:sz w:val="32"/>
          <w:szCs w:val="32"/>
        </w:rPr>
      </w:pPr>
      <w:r>
        <w:rPr>
          <w:sz w:val="32"/>
          <w:szCs w:val="32"/>
        </w:rPr>
        <w:t>Pysyvät vastaavat pysyivät ennallaan.</w:t>
      </w:r>
    </w:p>
    <w:p>
      <w:pPr>
        <w:pStyle w:val="normal1"/>
        <w:rPr>
          <w:sz w:val="32"/>
          <w:szCs w:val="32"/>
        </w:rPr>
      </w:pPr>
      <w:r>
        <w:rPr/>
        <mc:AlternateContent>
          <mc:Choice Requires="wps">
            <w:drawing>
              <wp:inline distT="0" distB="0" distL="0" distR="0">
                <wp:extent cx="5943600" cy="19050"/>
                <wp:effectExtent l="0" t="0" r="0" b="0"/>
                <wp:docPr id="2" name="Muoto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67.95pt;height:1.45pt;mso-wrap-style:none;v-text-anchor:middle;mso-position-vertical:top">
                <v:fill o:detectmouseclick="t" type="solid" color2="#5f5f5f"/>
                <v:stroke color="#3465a4" joinstyle="round" endcap="flat"/>
                <w10:wrap type="square"/>
              </v:rect>
            </w:pict>
          </mc:Fallback>
        </mc:AlternateContent>
      </w:r>
    </w:p>
    <w:p>
      <w:pPr>
        <w:pStyle w:val="normal1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Vaihtuvat vastaavat</w:t>
      </w:r>
    </w:p>
    <w:p>
      <w:pPr>
        <w:pStyle w:val="normal1"/>
        <w:numPr>
          <w:ilvl w:val="0"/>
          <w:numId w:val="5"/>
        </w:numPr>
        <w:ind w:hanging="360" w:start="720"/>
        <w:rPr>
          <w:sz w:val="28"/>
          <w:szCs w:val="28"/>
        </w:rPr>
      </w:pPr>
      <w:r>
        <w:rPr>
          <w:sz w:val="32"/>
          <w:szCs w:val="32"/>
        </w:rPr>
        <w:t xml:space="preserve">Saamiset: </w:t>
      </w:r>
      <w:r>
        <w:rPr>
          <w:b/>
          <w:bCs/>
          <w:sz w:val="32"/>
          <w:szCs w:val="32"/>
        </w:rPr>
        <w:t>940,50 €</w:t>
      </w:r>
      <w:r>
        <w:rPr>
          <w:sz w:val="32"/>
          <w:szCs w:val="32"/>
        </w:rPr>
        <w:t xml:space="preserve"> </w:t>
      </w:r>
    </w:p>
    <w:p>
      <w:pPr>
        <w:pStyle w:val="normal1"/>
        <w:numPr>
          <w:ilvl w:val="0"/>
          <w:numId w:val="5"/>
        </w:numPr>
        <w:ind w:hanging="360" w:start="720"/>
        <w:rPr>
          <w:sz w:val="28"/>
          <w:szCs w:val="28"/>
        </w:rPr>
      </w:pPr>
      <w:r>
        <w:rPr>
          <w:sz w:val="32"/>
          <w:szCs w:val="32"/>
        </w:rPr>
        <w:t xml:space="preserve">Rahat ja pankkisaamiset: </w:t>
      </w:r>
      <w:r>
        <w:rPr>
          <w:b/>
          <w:bCs/>
          <w:sz w:val="32"/>
          <w:szCs w:val="32"/>
        </w:rPr>
        <w:t>20 492,70 €</w:t>
      </w:r>
      <w:r>
        <w:rPr>
          <w:sz w:val="32"/>
          <w:szCs w:val="32"/>
        </w:rPr>
        <w:t xml:space="preserve"> (ed. 19 065,09 €)</w:t>
      </w:r>
    </w:p>
    <w:p>
      <w:pPr>
        <w:pStyle w:val="normal1"/>
        <w:rPr>
          <w:sz w:val="32"/>
          <w:szCs w:val="32"/>
        </w:rPr>
      </w:pPr>
      <w:r>
        <w:rPr>
          <w:sz w:val="32"/>
          <w:szCs w:val="32"/>
        </w:rPr>
        <w:t>Vaihtuvat vastaavat yhteensä:</w:t>
      </w:r>
    </w:p>
    <w:p>
      <w:pPr>
        <w:pStyle w:val="normal1"/>
        <w:numPr>
          <w:ilvl w:val="0"/>
          <w:numId w:val="6"/>
        </w:numPr>
        <w:ind w:hanging="360" w:start="720"/>
        <w:rPr>
          <w:sz w:val="28"/>
          <w:szCs w:val="28"/>
        </w:rPr>
      </w:pPr>
      <w:r>
        <w:rPr>
          <w:b/>
          <w:bCs/>
          <w:sz w:val="32"/>
          <w:szCs w:val="32"/>
        </w:rPr>
        <w:t>21 433,20 €</w:t>
      </w:r>
    </w:p>
    <w:p>
      <w:pPr>
        <w:pStyle w:val="normal1"/>
        <w:rPr>
          <w:sz w:val="32"/>
          <w:szCs w:val="32"/>
        </w:rPr>
      </w:pPr>
      <w:r>
        <w:rPr>
          <w:sz w:val="32"/>
          <w:szCs w:val="32"/>
        </w:rPr>
        <w:t>Rahavarat kasvoivat tilikauden aikana.</w:t>
      </w:r>
    </w:p>
    <w:p>
      <w:pPr>
        <w:pStyle w:val="normal1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1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Vastattavaa (oma pääoma ja velat)</w:t>
      </w:r>
    </w:p>
    <w:p>
      <w:pPr>
        <w:pStyle w:val="normal1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Oma pääoma</w:t>
      </w:r>
    </w:p>
    <w:p>
      <w:pPr>
        <w:pStyle w:val="normal1"/>
        <w:numPr>
          <w:ilvl w:val="0"/>
          <w:numId w:val="7"/>
        </w:numPr>
        <w:ind w:hanging="360" w:start="720"/>
        <w:rPr>
          <w:sz w:val="28"/>
          <w:szCs w:val="28"/>
        </w:rPr>
      </w:pPr>
      <w:r>
        <w:rPr>
          <w:sz w:val="32"/>
          <w:szCs w:val="32"/>
        </w:rPr>
        <w:t xml:space="preserve">Toimintapääoma: </w:t>
      </w:r>
      <w:r>
        <w:rPr>
          <w:b/>
          <w:bCs/>
          <w:sz w:val="32"/>
          <w:szCs w:val="32"/>
        </w:rPr>
        <w:t>100 762,01 €</w:t>
      </w:r>
    </w:p>
    <w:p>
      <w:pPr>
        <w:pStyle w:val="normal1"/>
        <w:numPr>
          <w:ilvl w:val="0"/>
          <w:numId w:val="7"/>
        </w:numPr>
        <w:ind w:hanging="360" w:start="720"/>
        <w:rPr>
          <w:sz w:val="28"/>
          <w:szCs w:val="28"/>
        </w:rPr>
      </w:pPr>
      <w:r>
        <w:rPr>
          <w:sz w:val="32"/>
          <w:szCs w:val="32"/>
        </w:rPr>
        <w:t xml:space="preserve">Edellisten tilikausien ylijäämä: </w:t>
      </w:r>
      <w:r>
        <w:rPr>
          <w:b/>
          <w:bCs/>
          <w:sz w:val="32"/>
          <w:szCs w:val="32"/>
        </w:rPr>
        <w:t>4 441,09 €</w:t>
      </w:r>
    </w:p>
    <w:p>
      <w:pPr>
        <w:pStyle w:val="normal1"/>
        <w:numPr>
          <w:ilvl w:val="0"/>
          <w:numId w:val="7"/>
        </w:numPr>
        <w:ind w:hanging="360" w:start="720"/>
        <w:rPr>
          <w:sz w:val="28"/>
          <w:szCs w:val="28"/>
        </w:rPr>
      </w:pPr>
      <w:r>
        <w:rPr>
          <w:sz w:val="32"/>
          <w:szCs w:val="32"/>
        </w:rPr>
        <w:t xml:space="preserve">Tilikauden ylijäämä: </w:t>
      </w:r>
      <w:r>
        <w:rPr>
          <w:b/>
          <w:bCs/>
          <w:sz w:val="32"/>
          <w:szCs w:val="32"/>
        </w:rPr>
        <w:t>2 320,46 €</w:t>
      </w:r>
    </w:p>
    <w:p>
      <w:pPr>
        <w:pStyle w:val="normal1"/>
        <w:rPr>
          <w:sz w:val="32"/>
          <w:szCs w:val="32"/>
        </w:rPr>
      </w:pPr>
      <w:r>
        <w:rPr>
          <w:b/>
          <w:bCs/>
          <w:sz w:val="32"/>
          <w:szCs w:val="32"/>
        </w:rPr>
        <w:t>Oma pääoma yhteensä: 107 523,56 €</w:t>
      </w:r>
    </w:p>
    <w:p>
      <w:pPr>
        <w:pStyle w:val="normal1"/>
        <w:rPr>
          <w:sz w:val="32"/>
          <w:szCs w:val="32"/>
        </w:rPr>
      </w:pPr>
      <w:r>
        <w:rPr>
          <w:sz w:val="32"/>
          <w:szCs w:val="32"/>
        </w:rPr>
        <w:t>Oma pääoma kasvoi tilikauden ylijäämän verran.</w:t>
      </w:r>
    </w:p>
    <w:p>
      <w:pPr>
        <w:pStyle w:val="normal1"/>
        <w:rPr>
          <w:sz w:val="32"/>
          <w:szCs w:val="32"/>
        </w:rPr>
      </w:pPr>
      <w:r>
        <w:rPr/>
        <mc:AlternateContent>
          <mc:Choice Requires="wps">
            <w:drawing>
              <wp:inline distT="0" distB="0" distL="0" distR="0">
                <wp:extent cx="5943600" cy="19050"/>
                <wp:effectExtent l="0" t="0" r="0" b="0"/>
                <wp:docPr id="3" name="Muoto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67.95pt;height:1.45pt;mso-wrap-style:none;v-text-anchor:middle;mso-position-vertical:top">
                <v:fill o:detectmouseclick="t" type="solid" color2="#5f5f5f"/>
                <v:stroke color="#3465a4" joinstyle="round" endcap="flat"/>
                <w10:wrap type="square"/>
              </v:rect>
            </w:pict>
          </mc:Fallback>
        </mc:AlternateContent>
      </w:r>
    </w:p>
    <w:p>
      <w:pPr>
        <w:pStyle w:val="normal1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Vieras pääoma</w:t>
      </w:r>
    </w:p>
    <w:p>
      <w:pPr>
        <w:pStyle w:val="normal1"/>
        <w:numPr>
          <w:ilvl w:val="0"/>
          <w:numId w:val="8"/>
        </w:numPr>
        <w:ind w:hanging="360" w:start="720"/>
        <w:rPr>
          <w:sz w:val="28"/>
          <w:szCs w:val="28"/>
        </w:rPr>
      </w:pPr>
      <w:r>
        <w:rPr>
          <w:sz w:val="32"/>
          <w:szCs w:val="32"/>
        </w:rPr>
        <w:t xml:space="preserve">Siirtovelat: </w:t>
      </w:r>
      <w:r>
        <w:rPr>
          <w:b/>
          <w:bCs/>
          <w:sz w:val="32"/>
          <w:szCs w:val="32"/>
        </w:rPr>
        <w:t>1 423,64 €</w:t>
      </w:r>
      <w:r>
        <w:rPr>
          <w:sz w:val="32"/>
          <w:szCs w:val="32"/>
        </w:rPr>
        <w:t xml:space="preserve"> (ed. 1 836,07 €)</w:t>
      </w:r>
    </w:p>
    <w:p>
      <w:pPr>
        <w:pStyle w:val="normal1"/>
        <w:rPr>
          <w:sz w:val="32"/>
          <w:szCs w:val="32"/>
        </w:rPr>
      </w:pPr>
      <w:r>
        <w:rPr>
          <w:sz w:val="32"/>
          <w:szCs w:val="32"/>
        </w:rPr>
        <w:t>Vieras pääoma on vähäinen ja pienentynyt edellisestä kaudesta.</w:t>
      </w:r>
    </w:p>
    <w:p>
      <w:pPr>
        <w:pStyle w:val="normal1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1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.Taloudellinen asema ja johtopäätökset</w:t>
      </w:r>
    </w:p>
    <w:p>
      <w:pPr>
        <w:pStyle w:val="normal1"/>
        <w:numPr>
          <w:ilvl w:val="0"/>
          <w:numId w:val="9"/>
        </w:numPr>
        <w:ind w:hanging="360" w:start="720"/>
        <w:rPr>
          <w:sz w:val="28"/>
          <w:szCs w:val="28"/>
        </w:rPr>
      </w:pPr>
      <w:r>
        <w:rPr>
          <w:sz w:val="32"/>
          <w:szCs w:val="32"/>
        </w:rPr>
        <w:t xml:space="preserve">Yhdistyksen talous on </w:t>
      </w:r>
      <w:r>
        <w:rPr>
          <w:b/>
          <w:bCs/>
          <w:sz w:val="32"/>
          <w:szCs w:val="32"/>
        </w:rPr>
        <w:t>vakaa ja ylijäämäinen</w:t>
      </w:r>
      <w:r>
        <w:rPr>
          <w:sz w:val="32"/>
          <w:szCs w:val="32"/>
        </w:rPr>
        <w:t>.</w:t>
      </w:r>
    </w:p>
    <w:p>
      <w:pPr>
        <w:pStyle w:val="normal1"/>
        <w:numPr>
          <w:ilvl w:val="0"/>
          <w:numId w:val="9"/>
        </w:numPr>
        <w:ind w:hanging="360" w:start="720"/>
        <w:rPr>
          <w:sz w:val="28"/>
          <w:szCs w:val="28"/>
        </w:rPr>
      </w:pPr>
      <w:r>
        <w:rPr>
          <w:sz w:val="32"/>
          <w:szCs w:val="32"/>
        </w:rPr>
        <w:t>Varainhankinta kattaa varsinaisen toiminnan kulut.</w:t>
      </w:r>
    </w:p>
    <w:p>
      <w:pPr>
        <w:pStyle w:val="normal1"/>
        <w:numPr>
          <w:ilvl w:val="0"/>
          <w:numId w:val="9"/>
        </w:numPr>
        <w:ind w:hanging="360" w:start="720"/>
        <w:rPr>
          <w:sz w:val="28"/>
          <w:szCs w:val="28"/>
        </w:rPr>
      </w:pPr>
      <w:r>
        <w:rPr>
          <w:sz w:val="32"/>
          <w:szCs w:val="32"/>
        </w:rPr>
        <w:t>Rahavarat ovat kasvaneet tilikauden aikana.</w:t>
      </w:r>
    </w:p>
    <w:p>
      <w:pPr>
        <w:pStyle w:val="normal1"/>
        <w:numPr>
          <w:ilvl w:val="0"/>
          <w:numId w:val="9"/>
        </w:numPr>
        <w:ind w:hanging="360" w:start="720"/>
        <w:rPr>
          <w:sz w:val="28"/>
          <w:szCs w:val="28"/>
        </w:rPr>
      </w:pPr>
      <w:r>
        <w:rPr>
          <w:sz w:val="32"/>
          <w:szCs w:val="32"/>
        </w:rPr>
        <w:t>Oma pääoma on vahva ja muodostaa suurimman osan taseesta.</w:t>
      </w:r>
    </w:p>
    <w:p>
      <w:pPr>
        <w:pStyle w:val="normal1"/>
        <w:numPr>
          <w:ilvl w:val="0"/>
          <w:numId w:val="9"/>
        </w:numPr>
        <w:ind w:hanging="360" w:start="720"/>
        <w:rPr>
          <w:sz w:val="28"/>
          <w:szCs w:val="28"/>
        </w:rPr>
      </w:pPr>
      <w:r>
        <w:rPr>
          <w:sz w:val="32"/>
          <w:szCs w:val="32"/>
        </w:rPr>
        <w:t>Velkaa on vähän.</w:t>
      </w:r>
    </w:p>
    <w:p>
      <w:pPr>
        <w:pStyle w:val="normal1"/>
        <w:rPr>
          <w:sz w:val="32"/>
          <w:szCs w:val="32"/>
        </w:rPr>
      </w:pPr>
      <w:r>
        <w:rPr>
          <w:sz w:val="32"/>
          <w:szCs w:val="32"/>
        </w:rPr>
        <w:t>Tilikauden tulos on positiivinen, vaikka se on hieman heikentynyt edellisestä vuodesta.</w:t>
      </w:r>
    </w:p>
    <w:p>
      <w:pPr>
        <w:pStyle w:val="normal1"/>
        <w:spacing w:before="0" w:after="160"/>
        <w:rPr>
          <w:sz w:val="32"/>
          <w:szCs w:val="32"/>
        </w:rPr>
      </w:pPr>
      <w:r>
        <w:rPr>
          <w:sz w:val="32"/>
          <w:szCs w:val="32"/>
        </w:rPr>
      </w:r>
    </w:p>
    <w:sectPr>
      <w:headerReference w:type="even" r:id="rId2"/>
      <w:headerReference w:type="default" r:id="rId3"/>
      <w:headerReference w:type="first" r:id="rId4"/>
      <w:type w:val="nextPage"/>
      <w:pgSz w:w="12240" w:h="15840"/>
      <w:pgMar w:left="1440" w:right="1440" w:gutter="0" w:header="72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ptos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 w:characterSet="windows-1252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Noto Sans Symbols">
    <w:charset w:val="01"/>
    <w:family w:val="swiss"/>
    <w:pitch w:val="default"/>
    <w:embedRegular r:id="rId22" w:fontKey="{16014A78-CABC-4EF0-12AC-5CD89AEFDE16}"/>
    <w:embedBold r:id="rId23" w:fontKey="{17014A78-CABC-4EF0-12AC-5CD89AEFDE17}"/>
    <w:embedItalic r:id="rId24" w:fontKey="{18014A78-CABC-4EF0-12AC-5CD89AEFDE18}"/>
  </w:font>
  <w:font w:name="Courier New">
    <w:charset w:val="01"/>
    <w:family w:val="modern"/>
    <w:pitch w:val="fixed"/>
    <w:embedRegular r:id="rId25" w:fontKey="{19014A78-CABC-4EF0-12AC-5CD89AEFDE19}"/>
    <w:embedBold r:id="rId26" w:fontKey="{1A014A78-CABC-4EF0-12AC-5CD89AEFDE1A}"/>
    <w:embedItalic r:id="rId27" w:fontKey="{1B014A78-CABC-4EF0-12AC-5CD89AEFDE1B}"/>
    <w:embedBoldItalic r:id="rId28" w:fontKey="{1C014A78-CABC-4EF0-12AC-5CD89AEFDE1C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680" w:leader="none"/>
        <w:tab w:val="right" w:pos="9360" w:leader="none"/>
      </w:tabs>
      <w:spacing w:lineRule="auto" w:line="240" w:before="0" w:after="0"/>
      <w:ind w:hanging="0" w:start="0" w:end="0"/>
      <w:jc w:val="start"/>
      <w:rPr>
        <w:rFonts w:ascii="Aptos" w:hAnsi="Aptos" w:eastAsia="Aptos" w:cs="Aptos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Cs w:val="24"/>
        <w:u w:val="none"/>
        <w:shd w:fill="auto" w:val="clear"/>
        <w:vertAlign w:val="baseline"/>
      </w:rPr>
    </w:pPr>
    <w:r>
      <w:rPr>
        <w:rFonts w:eastAsia="Aptos" w:cs="Aptos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Cs w:val="24"/>
        <w:u w:val="none"/>
        <w:shd w:fill="auto" w:val="clear"/>
        <w:vertAlign w:val="baseline"/>
      </w:rPr>
      <mc:AlternateContent>
        <mc:Choice Requires="wps">
          <w:drawing>
            <wp:anchor distT="0" distB="0" distL="0" distR="0" simplePos="0" relativeHeight="14" behindDoc="1" locked="0" layoutInCell="0" allowOverlap="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2225675" cy="381000"/>
              <wp:effectExtent l="0" t="0" r="0" b="0"/>
              <wp:wrapNone/>
              <wp:docPr id="4" name="Shape 2" descr="Luottamuksellinen - Confidential (3Y)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5520" cy="380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Kehyksensisltuser"/>
                            <w:spacing w:lineRule="auto" w:line="278" w:before="0" w:after="0"/>
                            <w:ind w:hanging="0" w:start="0" w:end="0"/>
                            <w:jc w:val="start"/>
                            <w:rPr/>
                          </w:pPr>
                          <w:r>
                            <w:rPr>
                              <w:rFonts w:eastAsia="Aptos" w:cs="Aptos"/>
                              <w:b w:val="false"/>
                              <w:i w:val="false"/>
                              <w:caps w:val="false"/>
                              <w:smallCaps w:val="false"/>
                              <w:strike w:val="false"/>
                              <w:dstrike w:val="false"/>
                              <w:color w:val="000000"/>
                              <w:position w:val="0"/>
                              <w:sz w:val="20"/>
                              <w:vertAlign w:val="baseline"/>
                            </w:rPr>
                            <w:t>Luottamuksellinen - Confidential (3Y)</w:t>
                          </w:r>
                        </w:p>
                      </w:txbxContent>
                    </wps:txbx>
                    <wps:bodyPr lIns="0" rIns="254160" tIns="19044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stroked="f" o:allowincell="f" style="position:absolute;margin-left:0pt;margin-top:0pt;width:175.2pt;height:29.95pt;mso-wrap-style:square;v-text-anchor:top;mso-position-horizontal:right;mso-position-horizontal-relative:page;mso-position-vertical:top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Kehyksensisltuser"/>
                      <w:spacing w:lineRule="auto" w:line="278" w:before="0" w:after="0"/>
                      <w:ind w:hanging="0" w:start="0" w:end="0"/>
                      <w:jc w:val="start"/>
                      <w:rPr/>
                    </w:pPr>
                    <w:r>
                      <w:rPr>
                        <w:rFonts w:eastAsia="Aptos" w:cs="Aptos"/>
                        <w:b w:val="false"/>
                        <w:i w:val="false"/>
                        <w:caps w:val="false"/>
                        <w:smallCaps w:val="false"/>
                        <w:strike w:val="false"/>
                        <w:dstrike w:val="false"/>
                        <w:color w:val="000000"/>
                        <w:position w:val="0"/>
                        <w:sz w:val="20"/>
                        <w:vertAlign w:val="baseline"/>
                      </w:rPr>
                      <w:t>Luottamuksellinen - Confidential (3Y)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680" w:leader="none"/>
        <w:tab w:val="right" w:pos="9360" w:leader="none"/>
      </w:tabs>
      <w:spacing w:lineRule="auto" w:line="240" w:before="0" w:after="0"/>
      <w:ind w:hanging="0" w:start="0" w:end="0"/>
      <w:jc w:val="start"/>
      <w:rPr>
        <w:rFonts w:ascii="Aptos" w:hAnsi="Aptos" w:eastAsia="Aptos" w:cs="Aptos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Cs w:val="24"/>
        <w:u w:val="none"/>
        <w:shd w:fill="auto" w:val="clear"/>
        <w:vertAlign w:val="baseline"/>
      </w:rPr>
    </w:pPr>
    <w:r>
      <w:rPr>
        <w:rFonts w:eastAsia="Aptos" w:cs="Aptos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Cs w:val="24"/>
        <w:u w:val="none"/>
        <w:shd w:fill="auto" w:val="clear"/>
        <w:vertAlign w:val="baseline"/>
      </w:rPr>
      <mc:AlternateContent>
        <mc:Choice Requires="wps">
          <w:drawing>
            <wp:anchor distT="0" distB="0" distL="0" distR="0" simplePos="0" relativeHeight="11" behindDoc="1" locked="0" layoutInCell="0" allowOverlap="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2225675" cy="381000"/>
              <wp:effectExtent l="0" t="0" r="0" b="0"/>
              <wp:wrapNone/>
              <wp:docPr id="5" name="Shape 4" descr="Luottamuksellinen - Confidential (3Y)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5520" cy="380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Kehyksensisltuser"/>
                            <w:spacing w:lineRule="auto" w:line="278" w:before="0" w:after="0"/>
                            <w:ind w:hanging="0" w:start="0" w:end="0"/>
                            <w:jc w:val="start"/>
                            <w:rPr/>
                          </w:pPr>
                          <w:r>
                            <w:rPr>
                              <w:rFonts w:eastAsia="Aptos" w:cs="Aptos"/>
                              <w:b w:val="false"/>
                              <w:i w:val="false"/>
                              <w:caps w:val="false"/>
                              <w:smallCaps w:val="false"/>
                              <w:strike w:val="false"/>
                              <w:dstrike w:val="false"/>
                              <w:color w:val="000000"/>
                              <w:position w:val="0"/>
                              <w:sz w:val="20"/>
                              <w:vertAlign w:val="baseline"/>
                            </w:rPr>
                            <w:t>Luottamuksellinen - Confidential (3Y)</w:t>
                          </w:r>
                        </w:p>
                      </w:txbxContent>
                    </wps:txbx>
                    <wps:bodyPr lIns="0" rIns="254160" tIns="19044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stroked="f" o:allowincell="f" style="position:absolute;margin-left:436.7pt;margin-top:0pt;width:175.2pt;height:29.95pt;mso-wrap-style:square;v-text-anchor:top;mso-position-horizontal:right;mso-position-horizontal-relative:page;mso-position-vertical:top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Kehyksensisltuser"/>
                      <w:spacing w:lineRule="auto" w:line="278" w:before="0" w:after="0"/>
                      <w:ind w:hanging="0" w:start="0" w:end="0"/>
                      <w:jc w:val="start"/>
                      <w:rPr/>
                    </w:pPr>
                    <w:r>
                      <w:rPr>
                        <w:rFonts w:eastAsia="Aptos" w:cs="Aptos"/>
                        <w:b w:val="false"/>
                        <w:i w:val="false"/>
                        <w:caps w:val="false"/>
                        <w:smallCaps w:val="false"/>
                        <w:strike w:val="false"/>
                        <w:dstrike w:val="false"/>
                        <w:color w:val="000000"/>
                        <w:position w:val="0"/>
                        <w:sz w:val="20"/>
                        <w:vertAlign w:val="baseline"/>
                      </w:rPr>
                      <w:t>Luottamuksellinen - Confidential (3Y)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680" w:leader="none"/>
        <w:tab w:val="right" w:pos="9360" w:leader="none"/>
      </w:tabs>
      <w:spacing w:lineRule="auto" w:line="240" w:before="0" w:after="0"/>
      <w:ind w:hanging="0" w:start="0" w:end="0"/>
      <w:jc w:val="start"/>
      <w:rPr>
        <w:rFonts w:ascii="Aptos" w:hAnsi="Aptos" w:eastAsia="Aptos" w:cs="Aptos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Cs w:val="24"/>
        <w:u w:val="none"/>
        <w:shd w:fill="auto" w:val="clear"/>
        <w:vertAlign w:val="baseline"/>
      </w:rPr>
    </w:pPr>
    <w:r>
      <w:rPr>
        <w:rFonts w:eastAsia="Aptos" w:cs="Aptos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Cs w:val="24"/>
        <w:u w:val="none"/>
        <w:shd w:fill="auto" w:val="clear"/>
        <w:vertAlign w:val="baseline"/>
      </w:rPr>
      <mc:AlternateContent>
        <mc:Choice Requires="wps">
          <w:drawing>
            <wp:anchor distT="0" distB="0" distL="0" distR="0" simplePos="0" relativeHeight="11" behindDoc="1" locked="0" layoutInCell="0" allowOverlap="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2225675" cy="381000"/>
              <wp:effectExtent l="0" t="0" r="0" b="0"/>
              <wp:wrapNone/>
              <wp:docPr id="6" name="Shape 4" descr="Luottamuksellinen - Confidential (3Y)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5520" cy="380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Kehyksensisltuser"/>
                            <w:spacing w:lineRule="auto" w:line="278" w:before="0" w:after="0"/>
                            <w:ind w:hanging="0" w:start="0" w:end="0"/>
                            <w:jc w:val="start"/>
                            <w:rPr/>
                          </w:pPr>
                          <w:r>
                            <w:rPr>
                              <w:rFonts w:eastAsia="Aptos" w:cs="Aptos"/>
                              <w:b w:val="false"/>
                              <w:i w:val="false"/>
                              <w:caps w:val="false"/>
                              <w:smallCaps w:val="false"/>
                              <w:strike w:val="false"/>
                              <w:dstrike w:val="false"/>
                              <w:color w:val="000000"/>
                              <w:position w:val="0"/>
                              <w:sz w:val="20"/>
                              <w:vertAlign w:val="baseline"/>
                            </w:rPr>
                            <w:t>Luottamuksellinen - Confidential (3Y)</w:t>
                          </w:r>
                        </w:p>
                      </w:txbxContent>
                    </wps:txbx>
                    <wps:bodyPr lIns="0" rIns="254160" tIns="19044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stroked="f" o:allowincell="f" style="position:absolute;margin-left:436.7pt;margin-top:0pt;width:175.2pt;height:29.95pt;mso-wrap-style:square;v-text-anchor:top;mso-position-horizontal:right;mso-position-horizontal-relative:page;mso-position-vertical:top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Kehyksensisltuser"/>
                      <w:spacing w:lineRule="auto" w:line="278" w:before="0" w:after="0"/>
                      <w:ind w:hanging="0" w:start="0" w:end="0"/>
                      <w:jc w:val="start"/>
                      <w:rPr/>
                    </w:pPr>
                    <w:r>
                      <w:rPr>
                        <w:rFonts w:eastAsia="Aptos" w:cs="Aptos"/>
                        <w:b w:val="false"/>
                        <w:i w:val="false"/>
                        <w:caps w:val="false"/>
                        <w:smallCaps w:val="false"/>
                        <w:strike w:val="false"/>
                        <w:dstrike w:val="false"/>
                        <w:color w:val="000000"/>
                        <w:position w:val="0"/>
                        <w:sz w:val="20"/>
                        <w:vertAlign w:val="baseline"/>
                      </w:rPr>
                      <w:t>Luottamuksellinen - Confidential (3Y)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●"/>
      <w:lvlJc w:val="start"/>
      <w:pPr>
        <w:tabs>
          <w:tab w:val="num" w:pos="0"/>
        </w:tabs>
        <w:ind w:star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start"/>
      <w:pPr>
        <w:tabs>
          <w:tab w:val="num" w:pos="0"/>
        </w:tabs>
        <w:ind w:star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start"/>
      <w:pPr>
        <w:tabs>
          <w:tab w:val="num" w:pos="0"/>
        </w:tabs>
        <w:ind w:star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start"/>
      <w:pPr>
        <w:tabs>
          <w:tab w:val="num" w:pos="0"/>
        </w:tabs>
        <w:ind w:star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start"/>
      <w:pPr>
        <w:tabs>
          <w:tab w:val="num" w:pos="0"/>
        </w:tabs>
        <w:ind w:star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start"/>
      <w:pPr>
        <w:tabs>
          <w:tab w:val="num" w:pos="0"/>
        </w:tabs>
        <w:ind w:star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start"/>
      <w:pPr>
        <w:tabs>
          <w:tab w:val="num" w:pos="0"/>
        </w:tabs>
        <w:ind w:star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start"/>
      <w:pPr>
        <w:tabs>
          <w:tab w:val="num" w:pos="0"/>
        </w:tabs>
        <w:ind w:star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start"/>
      <w:pPr>
        <w:tabs>
          <w:tab w:val="num" w:pos="0"/>
        </w:tabs>
        <w:ind w:star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start"/>
      <w:pPr>
        <w:tabs>
          <w:tab w:val="num" w:pos="0"/>
        </w:tabs>
        <w:ind w:star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start"/>
      <w:pPr>
        <w:tabs>
          <w:tab w:val="num" w:pos="0"/>
        </w:tabs>
        <w:ind w:star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start"/>
      <w:pPr>
        <w:tabs>
          <w:tab w:val="num" w:pos="0"/>
        </w:tabs>
        <w:ind w:star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start"/>
      <w:pPr>
        <w:tabs>
          <w:tab w:val="num" w:pos="0"/>
        </w:tabs>
        <w:ind w:star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start"/>
      <w:pPr>
        <w:tabs>
          <w:tab w:val="num" w:pos="0"/>
        </w:tabs>
        <w:ind w:star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start"/>
      <w:pPr>
        <w:tabs>
          <w:tab w:val="num" w:pos="0"/>
        </w:tabs>
        <w:ind w:star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start"/>
      <w:pPr>
        <w:tabs>
          <w:tab w:val="num" w:pos="0"/>
        </w:tabs>
        <w:ind w:star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start"/>
      <w:pPr>
        <w:tabs>
          <w:tab w:val="num" w:pos="0"/>
        </w:tabs>
        <w:ind w:star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start"/>
      <w:pPr>
        <w:tabs>
          <w:tab w:val="num" w:pos="0"/>
        </w:tabs>
        <w:ind w:star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start"/>
      <w:pPr>
        <w:tabs>
          <w:tab w:val="num" w:pos="0"/>
        </w:tabs>
        <w:ind w:star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start"/>
      <w:pPr>
        <w:tabs>
          <w:tab w:val="num" w:pos="0"/>
        </w:tabs>
        <w:ind w:star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start"/>
      <w:pPr>
        <w:tabs>
          <w:tab w:val="num" w:pos="0"/>
        </w:tabs>
        <w:ind w:star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start"/>
      <w:pPr>
        <w:tabs>
          <w:tab w:val="num" w:pos="0"/>
        </w:tabs>
        <w:ind w:star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start"/>
      <w:pPr>
        <w:tabs>
          <w:tab w:val="num" w:pos="0"/>
        </w:tabs>
        <w:ind w:star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start"/>
      <w:pPr>
        <w:tabs>
          <w:tab w:val="num" w:pos="0"/>
        </w:tabs>
        <w:ind w:star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start"/>
      <w:pPr>
        <w:tabs>
          <w:tab w:val="num" w:pos="0"/>
        </w:tabs>
        <w:ind w:star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start"/>
      <w:pPr>
        <w:tabs>
          <w:tab w:val="num" w:pos="0"/>
        </w:tabs>
        <w:ind w:star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start"/>
      <w:pPr>
        <w:tabs>
          <w:tab w:val="num" w:pos="0"/>
        </w:tabs>
        <w:ind w:star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start"/>
      <w:pPr>
        <w:tabs>
          <w:tab w:val="num" w:pos="0"/>
        </w:tabs>
        <w:ind w:star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start"/>
      <w:pPr>
        <w:tabs>
          <w:tab w:val="num" w:pos="0"/>
        </w:tabs>
        <w:ind w:star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start"/>
      <w:pPr>
        <w:tabs>
          <w:tab w:val="num" w:pos="0"/>
        </w:tabs>
        <w:ind w:star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start"/>
      <w:pPr>
        <w:tabs>
          <w:tab w:val="num" w:pos="0"/>
        </w:tabs>
        <w:ind w:star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start"/>
      <w:pPr>
        <w:tabs>
          <w:tab w:val="num" w:pos="0"/>
        </w:tabs>
        <w:ind w:star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start"/>
      <w:pPr>
        <w:tabs>
          <w:tab w:val="num" w:pos="0"/>
        </w:tabs>
        <w:ind w:star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start"/>
      <w:pPr>
        <w:tabs>
          <w:tab w:val="num" w:pos="0"/>
        </w:tabs>
        <w:ind w:star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start"/>
      <w:pPr>
        <w:tabs>
          <w:tab w:val="num" w:pos="0"/>
        </w:tabs>
        <w:ind w:star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start"/>
      <w:pPr>
        <w:tabs>
          <w:tab w:val="num" w:pos="0"/>
        </w:tabs>
        <w:ind w:star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start"/>
      <w:pPr>
        <w:tabs>
          <w:tab w:val="num" w:pos="0"/>
        </w:tabs>
        <w:ind w:star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start"/>
      <w:pPr>
        <w:tabs>
          <w:tab w:val="num" w:pos="0"/>
        </w:tabs>
        <w:ind w:star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start"/>
      <w:pPr>
        <w:tabs>
          <w:tab w:val="num" w:pos="0"/>
        </w:tabs>
        <w:ind w:star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start"/>
      <w:pPr>
        <w:tabs>
          <w:tab w:val="num" w:pos="0"/>
        </w:tabs>
        <w:ind w:star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6">
    <w:lvl w:ilvl="0">
      <w:start w:val="1"/>
      <w:numFmt w:val="bullet"/>
      <w:lvlText w:val="●"/>
      <w:lvlJc w:val="start"/>
      <w:pPr>
        <w:tabs>
          <w:tab w:val="num" w:pos="0"/>
        </w:tabs>
        <w:ind w:star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start"/>
      <w:pPr>
        <w:tabs>
          <w:tab w:val="num" w:pos="0"/>
        </w:tabs>
        <w:ind w:star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start"/>
      <w:pPr>
        <w:tabs>
          <w:tab w:val="num" w:pos="0"/>
        </w:tabs>
        <w:ind w:star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start"/>
      <w:pPr>
        <w:tabs>
          <w:tab w:val="num" w:pos="0"/>
        </w:tabs>
        <w:ind w:star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start"/>
      <w:pPr>
        <w:tabs>
          <w:tab w:val="num" w:pos="0"/>
        </w:tabs>
        <w:ind w:star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start"/>
      <w:pPr>
        <w:tabs>
          <w:tab w:val="num" w:pos="0"/>
        </w:tabs>
        <w:ind w:star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start"/>
      <w:pPr>
        <w:tabs>
          <w:tab w:val="num" w:pos="0"/>
        </w:tabs>
        <w:ind w:star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start"/>
      <w:pPr>
        <w:tabs>
          <w:tab w:val="num" w:pos="0"/>
        </w:tabs>
        <w:ind w:star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7">
    <w:lvl w:ilvl="0">
      <w:start w:val="1"/>
      <w:numFmt w:val="bullet"/>
      <w:lvlText w:val="●"/>
      <w:lvlJc w:val="start"/>
      <w:pPr>
        <w:tabs>
          <w:tab w:val="num" w:pos="0"/>
        </w:tabs>
        <w:ind w:star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start"/>
      <w:pPr>
        <w:tabs>
          <w:tab w:val="num" w:pos="0"/>
        </w:tabs>
        <w:ind w:star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start"/>
      <w:pPr>
        <w:tabs>
          <w:tab w:val="num" w:pos="0"/>
        </w:tabs>
        <w:ind w:star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start"/>
      <w:pPr>
        <w:tabs>
          <w:tab w:val="num" w:pos="0"/>
        </w:tabs>
        <w:ind w:star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start"/>
      <w:pPr>
        <w:tabs>
          <w:tab w:val="num" w:pos="0"/>
        </w:tabs>
        <w:ind w:star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start"/>
      <w:pPr>
        <w:tabs>
          <w:tab w:val="num" w:pos="0"/>
        </w:tabs>
        <w:ind w:star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start"/>
      <w:pPr>
        <w:tabs>
          <w:tab w:val="num" w:pos="0"/>
        </w:tabs>
        <w:ind w:star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start"/>
      <w:pPr>
        <w:tabs>
          <w:tab w:val="num" w:pos="0"/>
        </w:tabs>
        <w:ind w:star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8">
    <w:lvl w:ilvl="0">
      <w:start w:val="1"/>
      <w:numFmt w:val="bullet"/>
      <w:lvlText w:val="●"/>
      <w:lvlJc w:val="start"/>
      <w:pPr>
        <w:tabs>
          <w:tab w:val="num" w:pos="0"/>
        </w:tabs>
        <w:ind w:star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start"/>
      <w:pPr>
        <w:tabs>
          <w:tab w:val="num" w:pos="0"/>
        </w:tabs>
        <w:ind w:star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start"/>
      <w:pPr>
        <w:tabs>
          <w:tab w:val="num" w:pos="0"/>
        </w:tabs>
        <w:ind w:star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start"/>
      <w:pPr>
        <w:tabs>
          <w:tab w:val="num" w:pos="0"/>
        </w:tabs>
        <w:ind w:star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start"/>
      <w:pPr>
        <w:tabs>
          <w:tab w:val="num" w:pos="0"/>
        </w:tabs>
        <w:ind w:star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start"/>
      <w:pPr>
        <w:tabs>
          <w:tab w:val="num" w:pos="0"/>
        </w:tabs>
        <w:ind w:star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start"/>
      <w:pPr>
        <w:tabs>
          <w:tab w:val="num" w:pos="0"/>
        </w:tabs>
        <w:ind w:star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start"/>
      <w:pPr>
        <w:tabs>
          <w:tab w:val="num" w:pos="0"/>
        </w:tabs>
        <w:ind w:star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9">
    <w:lvl w:ilvl="0">
      <w:start w:val="1"/>
      <w:numFmt w:val="bullet"/>
      <w:lvlText w:val="●"/>
      <w:lvlJc w:val="start"/>
      <w:pPr>
        <w:tabs>
          <w:tab w:val="num" w:pos="0"/>
        </w:tabs>
        <w:ind w:star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start"/>
      <w:pPr>
        <w:tabs>
          <w:tab w:val="num" w:pos="0"/>
        </w:tabs>
        <w:ind w:star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start"/>
      <w:pPr>
        <w:tabs>
          <w:tab w:val="num" w:pos="0"/>
        </w:tabs>
        <w:ind w:star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start"/>
      <w:pPr>
        <w:tabs>
          <w:tab w:val="num" w:pos="0"/>
        </w:tabs>
        <w:ind w:star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start"/>
      <w:pPr>
        <w:tabs>
          <w:tab w:val="num" w:pos="0"/>
        </w:tabs>
        <w:ind w:star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start"/>
      <w:pPr>
        <w:tabs>
          <w:tab w:val="num" w:pos="0"/>
        </w:tabs>
        <w:ind w:star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start"/>
      <w:pPr>
        <w:tabs>
          <w:tab w:val="num" w:pos="0"/>
        </w:tabs>
        <w:ind w:star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start"/>
      <w:pPr>
        <w:tabs>
          <w:tab w:val="num" w:pos="0"/>
        </w:tabs>
        <w:ind w:star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10">
    <w:lvl w:ilvl="0">
      <w:start w:val="1"/>
      <w:numFmt w:val="bullet"/>
      <w:lvlText w:val="●"/>
      <w:lvlJc w:val="start"/>
      <w:pPr>
        <w:tabs>
          <w:tab w:val="num" w:pos="0"/>
        </w:tabs>
        <w:ind w:star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start"/>
      <w:pPr>
        <w:tabs>
          <w:tab w:val="num" w:pos="0"/>
        </w:tabs>
        <w:ind w:star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start"/>
      <w:pPr>
        <w:tabs>
          <w:tab w:val="num" w:pos="0"/>
        </w:tabs>
        <w:ind w:star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start"/>
      <w:pPr>
        <w:tabs>
          <w:tab w:val="num" w:pos="0"/>
        </w:tabs>
        <w:ind w:star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start"/>
      <w:pPr>
        <w:tabs>
          <w:tab w:val="num" w:pos="0"/>
        </w:tabs>
        <w:ind w:star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start"/>
      <w:pPr>
        <w:tabs>
          <w:tab w:val="num" w:pos="0"/>
        </w:tabs>
        <w:ind w:star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start"/>
      <w:pPr>
        <w:tabs>
          <w:tab w:val="num" w:pos="0"/>
        </w:tabs>
        <w:ind w:star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start"/>
      <w:pPr>
        <w:tabs>
          <w:tab w:val="num" w:pos="0"/>
        </w:tabs>
        <w:ind w:star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11">
    <w:lvl w:ilvl="0">
      <w:start w:val="1"/>
      <w:numFmt w:val="bullet"/>
      <w:lvlText w:val="●"/>
      <w:lvlJc w:val="start"/>
      <w:pPr>
        <w:tabs>
          <w:tab w:val="num" w:pos="0"/>
        </w:tabs>
        <w:ind w:star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start"/>
      <w:pPr>
        <w:tabs>
          <w:tab w:val="num" w:pos="0"/>
        </w:tabs>
        <w:ind w:star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start"/>
      <w:pPr>
        <w:tabs>
          <w:tab w:val="num" w:pos="0"/>
        </w:tabs>
        <w:ind w:star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start"/>
      <w:pPr>
        <w:tabs>
          <w:tab w:val="num" w:pos="0"/>
        </w:tabs>
        <w:ind w:star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start"/>
      <w:pPr>
        <w:tabs>
          <w:tab w:val="num" w:pos="0"/>
        </w:tabs>
        <w:ind w:star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start"/>
      <w:pPr>
        <w:tabs>
          <w:tab w:val="num" w:pos="0"/>
        </w:tabs>
        <w:ind w:star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start"/>
      <w:pPr>
        <w:tabs>
          <w:tab w:val="num" w:pos="0"/>
        </w:tabs>
        <w:ind w:star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start"/>
      <w:pPr>
        <w:tabs>
          <w:tab w:val="num" w:pos="0"/>
        </w:tabs>
        <w:ind w:star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1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Aptos"/>
        <w:sz w:val="24"/>
        <w:szCs w:val="24"/>
        <w:lang w:val="fi-FI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8" w:before="0" w:after="160"/>
      <w:jc w:val="start"/>
    </w:pPr>
    <w:rPr>
      <w:rFonts w:ascii="Aptos" w:hAnsi="Aptos" w:eastAsia="Aptos" w:cs="Aptos"/>
      <w:color w:val="auto"/>
      <w:kern w:val="0"/>
      <w:sz w:val="24"/>
      <w:szCs w:val="24"/>
      <w:lang w:val="fi-FI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YltunnisteChar" w:customStyle="1">
    <w:name w:val="Ylätunniste Char"/>
    <w:basedOn w:val="DefaultParagraphFont"/>
    <w:uiPriority w:val="99"/>
    <w:qFormat/>
    <w:rsid w:val="00413b7c"/>
    <w:rPr/>
  </w:style>
  <w:style w:type="paragraph" w:styleId="Otsikko">
    <w:name w:val="Otsikk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Hakemisto">
    <w:name w:val="Hakemisto"/>
    <w:basedOn w:val="Normal"/>
    <w:qFormat/>
    <w:pPr>
      <w:suppressLineNumbers/>
    </w:pPr>
    <w:rPr>
      <w:rFonts w:cs="Arial"/>
    </w:rPr>
  </w:style>
  <w:style w:type="paragraph" w:styleId="Otsikkouser">
    <w:name w:val="Otsikk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Hakemistouser">
    <w:name w:val="Hakemisto (user)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8" w:before="0" w:after="160"/>
      <w:jc w:val="start"/>
    </w:pPr>
    <w:rPr>
      <w:rFonts w:ascii="Aptos" w:hAnsi="Aptos" w:eastAsia="Aptos" w:cs="Aptos"/>
      <w:color w:val="auto"/>
      <w:kern w:val="0"/>
      <w:sz w:val="24"/>
      <w:szCs w:val="24"/>
      <w:lang w:val="fi-FI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Yl-jaalatunnisteuser">
    <w:name w:val="Ylä- ja alatunniste (user)"/>
    <w:basedOn w:val="Normal"/>
    <w:qFormat/>
    <w:pPr/>
    <w:rPr/>
  </w:style>
  <w:style w:type="paragraph" w:styleId="Yl-jaalatunniste">
    <w:name w:val="Ylä- ja alatunniste"/>
    <w:basedOn w:val="Normal"/>
    <w:qFormat/>
    <w:pPr/>
    <w:rPr/>
  </w:style>
  <w:style w:type="paragraph" w:styleId="Header">
    <w:name w:val="header"/>
    <w:basedOn w:val="Yl-jaalatunnisteuser"/>
    <w:link w:val="YltunnisteChar"/>
    <w:uiPriority w:val="99"/>
    <w:unhideWhenUsed/>
    <w:rsid w:val="00413b7c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Kehyksensisltuser">
    <w:name w:val="Kehyksen sisältö (user)"/>
    <w:basedOn w:val="Normal"/>
    <w:qFormat/>
    <w:pPr/>
    <w:rPr/>
  </w:style>
  <w:style w:type="paragraph" w:styleId="Kehyksensislt">
    <w:name w:val="Kehyksen sisältö"/>
    <w:basedOn w:val="Normal"/>
    <w:qFormat/>
    <w:pPr/>
    <w:rPr/>
  </w:style>
  <w:style w:type="numbering" w:styleId="Eiluetteloauser" w:default="1">
    <w:name w:val="Ei luetteloa (user)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Normaalitaulukko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l2S1CoOQKutsYZJW/fpqswpLLVg==">CgMxLjA4AHIhMTJHSkd5LWJ1UTAwMmZBOTJxQUdoTnNlaXRmaDR0T1ZR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LibreOffice/25.8.5.2$Windows_X86_64 LibreOffice_project/9c8b85f387cc00a89945a79c9e6239f32e450ac2</Application>
  <AppVersion>15.0000</AppVersion>
  <Pages>2</Pages>
  <Words>369</Words>
  <Characters>2089</Characters>
  <CharactersWithSpaces>2375</CharactersWithSpaces>
  <Paragraphs>63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2026-03-19T11:18:00Z</dcterms:created>
  <dc:creator>Leila Buur</dc:creator>
  <dc:description/>
  <dc:language>fi-FI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FontProps">
    <vt:lpwstr>#000000,10,Aptos</vt:lpwstr>
  </property>
  <property fmtid="{D5CDD505-2E9C-101B-9397-08002B2CF9AE}" pid="3" name="ClassificationContentMarkingHeaderShapeIds">
    <vt:lpwstr>68f77c94,5e4dddac,542acb74</vt:lpwstr>
  </property>
  <property fmtid="{D5CDD505-2E9C-101B-9397-08002B2CF9AE}" pid="4" name="ClassificationContentMarkingHeaderText">
    <vt:lpwstr>Luottamuksellinen - Confidential (3Y)</vt:lpwstr>
  </property>
</Properties>
</file>