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D5A5D" w14:textId="77777777" w:rsidR="00DD38BB" w:rsidRDefault="00333D34">
      <w:pPr>
        <w:pBdr>
          <w:top w:val="nil"/>
          <w:left w:val="nil"/>
          <w:bottom w:val="nil"/>
          <w:right w:val="nil"/>
          <w:between w:val="nil"/>
        </w:pBdr>
        <w:ind w:firstLine="0"/>
        <w:jc w:val="center"/>
        <w:rPr>
          <w:rFonts w:ascii="Arial" w:eastAsia="Arial" w:hAnsi="Arial" w:cs="Arial"/>
          <w:b/>
          <w:color w:val="000000"/>
          <w:sz w:val="28"/>
          <w:szCs w:val="28"/>
        </w:rPr>
      </w:pPr>
      <w:r>
        <w:rPr>
          <w:rFonts w:ascii="Arial" w:eastAsia="Arial" w:hAnsi="Arial" w:cs="Arial"/>
          <w:b/>
          <w:color w:val="000000"/>
          <w:sz w:val="28"/>
          <w:szCs w:val="28"/>
        </w:rPr>
        <w:t>Full Paper Title in Title Case</w:t>
      </w:r>
    </w:p>
    <w:p w14:paraId="189B7B32" w14:textId="77777777" w:rsidR="00DD38BB" w:rsidRDefault="00333D34">
      <w:pPr>
        <w:pBdr>
          <w:top w:val="nil"/>
          <w:left w:val="nil"/>
          <w:bottom w:val="nil"/>
          <w:right w:val="nil"/>
          <w:between w:val="nil"/>
        </w:pBdr>
        <w:ind w:firstLine="0"/>
        <w:jc w:val="center"/>
        <w:rPr>
          <w:rFonts w:ascii="Arial" w:eastAsia="Arial" w:hAnsi="Arial" w:cs="Arial"/>
          <w:b/>
          <w:color w:val="000000"/>
          <w:sz w:val="28"/>
          <w:szCs w:val="28"/>
        </w:rPr>
      </w:pPr>
      <w:r>
        <w:rPr>
          <w:rFonts w:ascii="Arial" w:eastAsia="Arial" w:hAnsi="Arial" w:cs="Arial"/>
          <w:b/>
          <w:color w:val="000000"/>
          <w:sz w:val="28"/>
          <w:szCs w:val="28"/>
        </w:rPr>
        <w:t>(Each Word of the Title Should be Capitalised)</w:t>
      </w:r>
    </w:p>
    <w:p w14:paraId="1BA65A5D" w14:textId="77777777" w:rsidR="00DD38BB" w:rsidRDefault="00333D34">
      <w:pPr>
        <w:pBdr>
          <w:top w:val="nil"/>
          <w:left w:val="nil"/>
          <w:bottom w:val="nil"/>
          <w:right w:val="nil"/>
          <w:between w:val="nil"/>
        </w:pBdr>
        <w:spacing w:before="240"/>
        <w:ind w:firstLine="0"/>
        <w:jc w:val="center"/>
        <w:rPr>
          <w:b/>
          <w:color w:val="000000"/>
          <w:sz w:val="24"/>
          <w:szCs w:val="24"/>
        </w:rPr>
      </w:pPr>
      <w:r>
        <w:rPr>
          <w:b/>
          <w:color w:val="000000"/>
          <w:sz w:val="24"/>
          <w:szCs w:val="24"/>
        </w:rPr>
        <w:t>Name Surname 1, Name Surname 2</w:t>
      </w:r>
    </w:p>
    <w:p w14:paraId="417D0830" w14:textId="77777777" w:rsidR="00DD38BB" w:rsidRDefault="00333D34">
      <w:pPr>
        <w:pBdr>
          <w:top w:val="nil"/>
          <w:left w:val="nil"/>
          <w:bottom w:val="nil"/>
          <w:right w:val="nil"/>
          <w:between w:val="nil"/>
        </w:pBdr>
        <w:ind w:firstLine="0"/>
        <w:jc w:val="center"/>
        <w:rPr>
          <w:color w:val="000000"/>
          <w:sz w:val="24"/>
          <w:szCs w:val="24"/>
        </w:rPr>
      </w:pPr>
      <w:r>
        <w:rPr>
          <w:color w:val="000000"/>
          <w:sz w:val="24"/>
          <w:szCs w:val="24"/>
        </w:rPr>
        <w:t>“John Doe” Institute/Company</w:t>
      </w:r>
    </w:p>
    <w:p w14:paraId="0E360D7E" w14:textId="77777777" w:rsidR="00DD38BB" w:rsidRDefault="00333D34">
      <w:pPr>
        <w:pBdr>
          <w:top w:val="nil"/>
          <w:left w:val="nil"/>
          <w:bottom w:val="nil"/>
          <w:right w:val="nil"/>
          <w:between w:val="nil"/>
        </w:pBdr>
        <w:ind w:firstLine="0"/>
        <w:jc w:val="center"/>
        <w:rPr>
          <w:color w:val="000000"/>
          <w:sz w:val="24"/>
          <w:szCs w:val="24"/>
        </w:rPr>
      </w:pPr>
      <w:r>
        <w:rPr>
          <w:color w:val="000000"/>
          <w:sz w:val="24"/>
          <w:szCs w:val="24"/>
        </w:rPr>
        <w:t>256 Main Street, City Code City, Country</w:t>
      </w:r>
    </w:p>
    <w:p w14:paraId="2C482B39" w14:textId="77777777" w:rsidR="00DD38BB" w:rsidRDefault="00333D34">
      <w:pPr>
        <w:pBdr>
          <w:top w:val="nil"/>
          <w:left w:val="nil"/>
          <w:bottom w:val="nil"/>
          <w:right w:val="nil"/>
          <w:between w:val="nil"/>
        </w:pBdr>
        <w:ind w:firstLine="0"/>
        <w:jc w:val="center"/>
        <w:rPr>
          <w:color w:val="000000"/>
          <w:sz w:val="24"/>
          <w:szCs w:val="24"/>
        </w:rPr>
      </w:pPr>
      <w:r>
        <w:rPr>
          <w:color w:val="000000"/>
          <w:sz w:val="24"/>
          <w:szCs w:val="24"/>
        </w:rPr>
        <w:t>Author.One@institution.org, Author.Two@institution.org</w:t>
      </w:r>
    </w:p>
    <w:p w14:paraId="16AA3DFC" w14:textId="77777777" w:rsidR="00DD38BB" w:rsidRDefault="00333D34">
      <w:pPr>
        <w:pBdr>
          <w:top w:val="nil"/>
          <w:left w:val="nil"/>
          <w:bottom w:val="nil"/>
          <w:right w:val="nil"/>
          <w:between w:val="nil"/>
        </w:pBdr>
        <w:spacing w:before="240"/>
        <w:ind w:firstLine="0"/>
        <w:jc w:val="center"/>
        <w:rPr>
          <w:b/>
          <w:color w:val="000000"/>
          <w:sz w:val="24"/>
          <w:szCs w:val="24"/>
        </w:rPr>
      </w:pPr>
      <w:r>
        <w:rPr>
          <w:b/>
          <w:color w:val="000000"/>
          <w:sz w:val="24"/>
          <w:szCs w:val="24"/>
        </w:rPr>
        <w:t>Name Surname 3</w:t>
      </w:r>
    </w:p>
    <w:p w14:paraId="1500C562" w14:textId="77777777" w:rsidR="00DD38BB" w:rsidRDefault="00333D34">
      <w:pPr>
        <w:pBdr>
          <w:top w:val="nil"/>
          <w:left w:val="nil"/>
          <w:bottom w:val="nil"/>
          <w:right w:val="nil"/>
          <w:between w:val="nil"/>
        </w:pBdr>
        <w:ind w:firstLine="0"/>
        <w:jc w:val="center"/>
        <w:rPr>
          <w:color w:val="000000"/>
          <w:sz w:val="24"/>
          <w:szCs w:val="24"/>
        </w:rPr>
      </w:pPr>
      <w:r>
        <w:rPr>
          <w:color w:val="000000"/>
          <w:sz w:val="24"/>
          <w:szCs w:val="24"/>
        </w:rPr>
        <w:t>University of Coimbra, Department of Nuclear Engineering</w:t>
      </w:r>
    </w:p>
    <w:p w14:paraId="42D87D49" w14:textId="77777777" w:rsidR="00DD38BB" w:rsidRDefault="00333D34">
      <w:pPr>
        <w:pBdr>
          <w:top w:val="nil"/>
          <w:left w:val="nil"/>
          <w:bottom w:val="nil"/>
          <w:right w:val="nil"/>
          <w:between w:val="nil"/>
        </w:pBdr>
        <w:ind w:firstLine="0"/>
        <w:jc w:val="center"/>
        <w:rPr>
          <w:color w:val="000000"/>
          <w:sz w:val="24"/>
          <w:szCs w:val="24"/>
        </w:rPr>
      </w:pPr>
      <w:r>
        <w:rPr>
          <w:color w:val="000000"/>
          <w:sz w:val="24"/>
          <w:szCs w:val="24"/>
        </w:rPr>
        <w:t xml:space="preserve">Teho </w:t>
      </w:r>
      <w:proofErr w:type="spellStart"/>
      <w:r>
        <w:rPr>
          <w:color w:val="000000"/>
          <w:sz w:val="24"/>
          <w:szCs w:val="24"/>
        </w:rPr>
        <w:t>Avenidades</w:t>
      </w:r>
      <w:proofErr w:type="spellEnd"/>
      <w:r>
        <w:rPr>
          <w:color w:val="000000"/>
          <w:sz w:val="24"/>
          <w:szCs w:val="24"/>
        </w:rPr>
        <w:t xml:space="preserve"> 3, P-1234 Coimbra, Portugal</w:t>
      </w:r>
    </w:p>
    <w:p w14:paraId="40CA9D43" w14:textId="77777777" w:rsidR="00DD38BB" w:rsidRDefault="00333D34">
      <w:pPr>
        <w:pBdr>
          <w:top w:val="nil"/>
          <w:left w:val="nil"/>
          <w:bottom w:val="nil"/>
          <w:right w:val="nil"/>
          <w:between w:val="nil"/>
        </w:pBdr>
        <w:ind w:firstLine="0"/>
        <w:jc w:val="center"/>
        <w:rPr>
          <w:color w:val="000000"/>
          <w:sz w:val="24"/>
          <w:szCs w:val="24"/>
        </w:rPr>
      </w:pPr>
      <w:r>
        <w:rPr>
          <w:color w:val="000000"/>
          <w:sz w:val="24"/>
          <w:szCs w:val="24"/>
        </w:rPr>
        <w:t>Author.Three@dne.pt</w:t>
      </w:r>
    </w:p>
    <w:p w14:paraId="056CBDF8" w14:textId="77777777" w:rsidR="00DD38BB" w:rsidRDefault="00333D34">
      <w:pPr>
        <w:keepNext/>
        <w:pBdr>
          <w:top w:val="nil"/>
          <w:left w:val="nil"/>
          <w:bottom w:val="nil"/>
          <w:right w:val="nil"/>
          <w:between w:val="nil"/>
        </w:pBdr>
        <w:spacing w:before="240" w:after="240"/>
        <w:ind w:left="567" w:firstLine="0"/>
        <w:jc w:val="left"/>
        <w:rPr>
          <w:b/>
          <w:smallCaps/>
          <w:color w:val="000000"/>
          <w:sz w:val="24"/>
          <w:szCs w:val="24"/>
        </w:rPr>
      </w:pPr>
      <w:r>
        <w:rPr>
          <w:b/>
          <w:smallCaps/>
          <w:color w:val="000000"/>
          <w:sz w:val="24"/>
          <w:szCs w:val="24"/>
        </w:rPr>
        <w:t>ABSTRACT</w:t>
      </w:r>
    </w:p>
    <w:p w14:paraId="396E37B3" w14:textId="77777777" w:rsidR="00DD38BB" w:rsidRDefault="00333D34">
      <w:r>
        <w:t xml:space="preserve">This file provides a template for writing papers for the conference. The papers will be published in electronic format only. The maximum length of the paper is </w:t>
      </w:r>
      <w:r>
        <w:rPr>
          <w:u w:val="single"/>
        </w:rPr>
        <w:t>4 pages</w:t>
      </w:r>
      <w:r>
        <w:t xml:space="preserve">, including figures, tables and references. The paper must be converted into Portable Document Format (PDF) before submitting it in </w:t>
      </w:r>
      <w:proofErr w:type="spellStart"/>
      <w:r>
        <w:t>Conftool</w:t>
      </w:r>
      <w:proofErr w:type="spellEnd"/>
      <w:r>
        <w:t>. An abstract not exceeding 500 words should appear on the top of the first page. The remainder of the document is divided in two columns.</w:t>
      </w:r>
    </w:p>
    <w:p w14:paraId="672A6659" w14:textId="77777777" w:rsidR="00DD38BB" w:rsidRDefault="00DD38BB">
      <w:pPr>
        <w:sectPr w:rsidR="00DD38BB">
          <w:headerReference w:type="default" r:id="rId7"/>
          <w:footerReference w:type="default" r:id="rId8"/>
          <w:headerReference w:type="first" r:id="rId9"/>
          <w:footerReference w:type="first" r:id="rId10"/>
          <w:pgSz w:w="11906" w:h="16838"/>
          <w:pgMar w:top="1134" w:right="1134" w:bottom="1134" w:left="1134" w:header="907" w:footer="907" w:gutter="0"/>
          <w:pgNumType w:start="1"/>
          <w:cols w:space="708"/>
          <w:titlePg/>
        </w:sectPr>
      </w:pPr>
    </w:p>
    <w:p w14:paraId="2C8B4F07" w14:textId="77777777" w:rsidR="00DD38BB" w:rsidRDefault="00333D34">
      <w:pPr>
        <w:pStyle w:val="Heading1"/>
        <w:numPr>
          <w:ilvl w:val="0"/>
          <w:numId w:val="2"/>
        </w:numPr>
        <w:tabs>
          <w:tab w:val="left" w:pos="855"/>
        </w:tabs>
      </w:pPr>
      <w:r>
        <w:t>INTRODUCTION</w:t>
      </w:r>
    </w:p>
    <w:p w14:paraId="3DB8E03B" w14:textId="77777777" w:rsidR="00DD38BB" w:rsidRDefault="00333D34">
      <w:r>
        <w:t>It is expected that authors will submit carefully written and proofread material. Spelling and grammatical errors, as well as language usage problems, are not acceptable.</w:t>
      </w:r>
    </w:p>
    <w:p w14:paraId="09A8729D" w14:textId="77777777" w:rsidR="00DD38BB" w:rsidRDefault="00333D34">
      <w:r>
        <w:t xml:space="preserve">Papers should clearly describe the background of the subject, the authors work, including the methods used, and concluding discussion on the importance of the work. Papers are to be prepared in English (British or American) and SI-units shall be used. </w:t>
      </w:r>
    </w:p>
    <w:p w14:paraId="46A22646" w14:textId="77777777" w:rsidR="00DD38BB" w:rsidRDefault="00333D34">
      <w:pPr>
        <w:pStyle w:val="Heading1"/>
        <w:numPr>
          <w:ilvl w:val="0"/>
          <w:numId w:val="2"/>
        </w:numPr>
        <w:tabs>
          <w:tab w:val="left" w:pos="855"/>
        </w:tabs>
      </w:pPr>
      <w:r>
        <w:t>PAPER FORMAT</w:t>
      </w:r>
    </w:p>
    <w:p w14:paraId="7B2F9A64" w14:textId="77777777" w:rsidR="00DD38BB" w:rsidRDefault="00333D34">
      <w:r>
        <w:t xml:space="preserve">The uniform outlook will help the reader to follow the proceedings. This can be obtained most easily if authors use this template file to construct their papers. </w:t>
      </w:r>
    </w:p>
    <w:p w14:paraId="0A37501D" w14:textId="77777777" w:rsidR="00DD38BB" w:rsidRDefault="00DD38BB"/>
    <w:p w14:paraId="640D4C74" w14:textId="77777777" w:rsidR="00DD38BB" w:rsidRDefault="00333D34">
      <w:pPr>
        <w:pStyle w:val="Heading2"/>
        <w:numPr>
          <w:ilvl w:val="1"/>
          <w:numId w:val="2"/>
        </w:numPr>
      </w:pPr>
      <w:r>
        <w:t>Fonts</w:t>
      </w:r>
    </w:p>
    <w:p w14:paraId="412BB9BF" w14:textId="77777777" w:rsidR="00DD38BB" w:rsidRDefault="00333D34">
      <w:r>
        <w:t>Papers should use 11-point Times New Roman font. The styles available are bold, italic and underlined.</w:t>
      </w:r>
    </w:p>
    <w:p w14:paraId="5DAB6C7B" w14:textId="77777777" w:rsidR="00DD38BB" w:rsidRDefault="00DD38BB"/>
    <w:p w14:paraId="5050AAB9" w14:textId="77777777" w:rsidR="00DD38BB" w:rsidRDefault="00333D34">
      <w:pPr>
        <w:pStyle w:val="Heading2"/>
        <w:numPr>
          <w:ilvl w:val="1"/>
          <w:numId w:val="2"/>
        </w:numPr>
      </w:pPr>
      <w:r>
        <w:t>Tables and Figures</w:t>
      </w:r>
    </w:p>
    <w:p w14:paraId="01E4304F" w14:textId="77777777" w:rsidR="00DD38BB" w:rsidRDefault="00333D34">
      <w:r>
        <w:t xml:space="preserve">Figure captions and table headings should be sufficient to explain the figure or table without needing to refer to the text. Figures and tables not cited in the text should not be presented. Styles </w:t>
      </w:r>
      <w:r>
        <w:t>Heading Table and Caption Figure are available in this template for tables and figures.</w:t>
      </w:r>
    </w:p>
    <w:p w14:paraId="02EB378F" w14:textId="77777777" w:rsidR="00DD38BB" w:rsidRDefault="00DD38BB"/>
    <w:p w14:paraId="42703814" w14:textId="77777777" w:rsidR="00DD38BB" w:rsidRDefault="00333D34">
      <w:pPr>
        <w:pBdr>
          <w:top w:val="nil"/>
          <w:left w:val="nil"/>
          <w:bottom w:val="nil"/>
          <w:right w:val="nil"/>
          <w:between w:val="nil"/>
        </w:pBdr>
        <w:spacing w:before="120" w:after="120"/>
        <w:ind w:firstLine="0"/>
        <w:jc w:val="center"/>
        <w:rPr>
          <w:color w:val="000000"/>
        </w:rPr>
      </w:pPr>
      <w:r>
        <w:rPr>
          <w:color w:val="000000"/>
        </w:rPr>
        <w:t>Table 1 Title of Example Table</w:t>
      </w:r>
    </w:p>
    <w:tbl>
      <w:tblPr>
        <w:tblStyle w:val="a"/>
        <w:tblW w:w="4678" w:type="dxa"/>
        <w:tblInd w:w="108" w:type="dxa"/>
        <w:tblLayout w:type="fixed"/>
        <w:tblLook w:val="0000" w:firstRow="0" w:lastRow="0" w:firstColumn="0" w:lastColumn="0" w:noHBand="0" w:noVBand="0"/>
      </w:tblPr>
      <w:tblGrid>
        <w:gridCol w:w="2552"/>
        <w:gridCol w:w="709"/>
        <w:gridCol w:w="1417"/>
      </w:tblGrid>
      <w:tr w:rsidR="00DD38BB" w14:paraId="4A92C004" w14:textId="77777777">
        <w:tc>
          <w:tcPr>
            <w:tcW w:w="2552" w:type="dxa"/>
            <w:tcBorders>
              <w:top w:val="single" w:sz="4" w:space="0" w:color="000000"/>
              <w:left w:val="single" w:sz="4" w:space="0" w:color="000000"/>
              <w:bottom w:val="single" w:sz="4" w:space="0" w:color="000000"/>
            </w:tcBorders>
            <w:vAlign w:val="center"/>
          </w:tcPr>
          <w:p w14:paraId="1896309E" w14:textId="77777777" w:rsidR="00DD38BB" w:rsidRDefault="00333D34">
            <w:pPr>
              <w:ind w:firstLine="0"/>
              <w:jc w:val="center"/>
              <w:rPr>
                <w:sz w:val="20"/>
                <w:szCs w:val="20"/>
              </w:rPr>
            </w:pPr>
            <w:r>
              <w:rPr>
                <w:b/>
                <w:sz w:val="20"/>
                <w:szCs w:val="20"/>
              </w:rPr>
              <w:t>Header</w:t>
            </w:r>
          </w:p>
        </w:tc>
        <w:tc>
          <w:tcPr>
            <w:tcW w:w="709" w:type="dxa"/>
            <w:tcBorders>
              <w:top w:val="single" w:sz="4" w:space="0" w:color="000000"/>
              <w:left w:val="single" w:sz="4" w:space="0" w:color="000000"/>
              <w:bottom w:val="single" w:sz="4" w:space="0" w:color="000000"/>
            </w:tcBorders>
            <w:vAlign w:val="center"/>
          </w:tcPr>
          <w:p w14:paraId="33096EF0" w14:textId="77777777" w:rsidR="00DD38BB" w:rsidRDefault="00333D34">
            <w:pPr>
              <w:ind w:firstLine="0"/>
              <w:jc w:val="center"/>
              <w:rPr>
                <w:sz w:val="20"/>
                <w:szCs w:val="20"/>
              </w:rPr>
            </w:pPr>
            <w:r>
              <w:rPr>
                <w:b/>
                <w:sz w:val="20"/>
                <w:szCs w:val="20"/>
              </w:rPr>
              <w:t>X</w:t>
            </w:r>
          </w:p>
        </w:tc>
        <w:tc>
          <w:tcPr>
            <w:tcW w:w="1417" w:type="dxa"/>
            <w:tcBorders>
              <w:top w:val="single" w:sz="4" w:space="0" w:color="000000"/>
              <w:left w:val="single" w:sz="4" w:space="0" w:color="000000"/>
              <w:bottom w:val="single" w:sz="4" w:space="0" w:color="000000"/>
              <w:right w:val="single" w:sz="4" w:space="0" w:color="000000"/>
            </w:tcBorders>
            <w:vAlign w:val="center"/>
          </w:tcPr>
          <w:p w14:paraId="3286BD6E" w14:textId="77777777" w:rsidR="00DD38BB" w:rsidRDefault="00333D34">
            <w:pPr>
              <w:ind w:firstLine="0"/>
              <w:jc w:val="center"/>
            </w:pPr>
            <w:r>
              <w:rPr>
                <w:b/>
                <w:sz w:val="20"/>
                <w:szCs w:val="20"/>
              </w:rPr>
              <w:t>Improved</w:t>
            </w:r>
          </w:p>
        </w:tc>
      </w:tr>
      <w:tr w:rsidR="00DD38BB" w14:paraId="676790D8" w14:textId="77777777">
        <w:tc>
          <w:tcPr>
            <w:tcW w:w="2552" w:type="dxa"/>
            <w:tcBorders>
              <w:top w:val="single" w:sz="4" w:space="0" w:color="000000"/>
              <w:left w:val="single" w:sz="4" w:space="0" w:color="000000"/>
              <w:bottom w:val="single" w:sz="4" w:space="0" w:color="000000"/>
            </w:tcBorders>
            <w:vAlign w:val="center"/>
          </w:tcPr>
          <w:p w14:paraId="3EF980BB" w14:textId="77777777" w:rsidR="00DD38BB" w:rsidRDefault="00333D34">
            <w:pPr>
              <w:pBdr>
                <w:top w:val="nil"/>
                <w:left w:val="nil"/>
                <w:bottom w:val="nil"/>
                <w:right w:val="nil"/>
                <w:between w:val="nil"/>
              </w:pBdr>
              <w:tabs>
                <w:tab w:val="center" w:pos="4153"/>
                <w:tab w:val="right" w:pos="9072"/>
              </w:tabs>
              <w:ind w:firstLine="0"/>
              <w:rPr>
                <w:color w:val="000000"/>
                <w:sz w:val="20"/>
                <w:szCs w:val="20"/>
              </w:rPr>
            </w:pPr>
            <w:r>
              <w:rPr>
                <w:color w:val="000000"/>
                <w:sz w:val="20"/>
                <w:szCs w:val="20"/>
              </w:rPr>
              <w:t>Check valves</w:t>
            </w:r>
          </w:p>
        </w:tc>
        <w:tc>
          <w:tcPr>
            <w:tcW w:w="709" w:type="dxa"/>
            <w:tcBorders>
              <w:top w:val="single" w:sz="4" w:space="0" w:color="000000"/>
              <w:left w:val="single" w:sz="4" w:space="0" w:color="000000"/>
              <w:bottom w:val="single" w:sz="4" w:space="0" w:color="000000"/>
            </w:tcBorders>
            <w:vAlign w:val="center"/>
          </w:tcPr>
          <w:p w14:paraId="18F999B5" w14:textId="77777777" w:rsidR="00DD38BB" w:rsidRDefault="00333D34">
            <w:pPr>
              <w:ind w:firstLine="0"/>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tcPr>
          <w:p w14:paraId="5B7FDD25" w14:textId="77777777" w:rsidR="00DD38BB" w:rsidRDefault="00333D34">
            <w:pPr>
              <w:ind w:firstLine="0"/>
              <w:jc w:val="center"/>
            </w:pPr>
            <w:r>
              <w:rPr>
                <w:sz w:val="20"/>
                <w:szCs w:val="20"/>
              </w:rPr>
              <w:t>Yes</w:t>
            </w:r>
          </w:p>
        </w:tc>
      </w:tr>
      <w:tr w:rsidR="00DD38BB" w14:paraId="42825D63" w14:textId="77777777">
        <w:tc>
          <w:tcPr>
            <w:tcW w:w="2552" w:type="dxa"/>
            <w:tcBorders>
              <w:top w:val="single" w:sz="4" w:space="0" w:color="000000"/>
              <w:left w:val="single" w:sz="4" w:space="0" w:color="000000"/>
              <w:bottom w:val="single" w:sz="4" w:space="0" w:color="000000"/>
            </w:tcBorders>
            <w:vAlign w:val="center"/>
          </w:tcPr>
          <w:p w14:paraId="02135B3E" w14:textId="77777777" w:rsidR="00DD38BB" w:rsidRDefault="00333D34">
            <w:pPr>
              <w:ind w:firstLine="0"/>
              <w:jc w:val="left"/>
              <w:rPr>
                <w:sz w:val="20"/>
                <w:szCs w:val="20"/>
              </w:rPr>
            </w:pPr>
            <w:r>
              <w:rPr>
                <w:sz w:val="20"/>
                <w:szCs w:val="20"/>
              </w:rPr>
              <w:t>Line discharge check valves</w:t>
            </w:r>
          </w:p>
        </w:tc>
        <w:tc>
          <w:tcPr>
            <w:tcW w:w="709" w:type="dxa"/>
            <w:tcBorders>
              <w:top w:val="single" w:sz="4" w:space="0" w:color="000000"/>
              <w:left w:val="single" w:sz="4" w:space="0" w:color="000000"/>
              <w:bottom w:val="single" w:sz="4" w:space="0" w:color="000000"/>
            </w:tcBorders>
            <w:vAlign w:val="center"/>
          </w:tcPr>
          <w:p w14:paraId="2598DEE6" w14:textId="77777777" w:rsidR="00DD38BB" w:rsidRDefault="00333D34">
            <w:pPr>
              <w:ind w:firstLine="0"/>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tcPr>
          <w:p w14:paraId="55239733" w14:textId="77777777" w:rsidR="00DD38BB" w:rsidRDefault="00333D34">
            <w:pPr>
              <w:ind w:firstLine="0"/>
              <w:jc w:val="center"/>
            </w:pPr>
            <w:r>
              <w:rPr>
                <w:sz w:val="20"/>
                <w:szCs w:val="20"/>
              </w:rPr>
              <w:t>Yes</w:t>
            </w:r>
          </w:p>
        </w:tc>
      </w:tr>
      <w:tr w:rsidR="00DD38BB" w14:paraId="19C23565" w14:textId="77777777">
        <w:tc>
          <w:tcPr>
            <w:tcW w:w="2552" w:type="dxa"/>
            <w:tcBorders>
              <w:top w:val="single" w:sz="4" w:space="0" w:color="000000"/>
              <w:left w:val="single" w:sz="4" w:space="0" w:color="000000"/>
              <w:bottom w:val="single" w:sz="4" w:space="0" w:color="000000"/>
            </w:tcBorders>
            <w:vAlign w:val="center"/>
          </w:tcPr>
          <w:p w14:paraId="714D6DA8" w14:textId="77777777" w:rsidR="00DD38BB" w:rsidRDefault="00333D34">
            <w:pPr>
              <w:ind w:firstLine="0"/>
              <w:jc w:val="left"/>
              <w:rPr>
                <w:sz w:val="20"/>
                <w:szCs w:val="20"/>
              </w:rPr>
            </w:pPr>
            <w:r>
              <w:rPr>
                <w:sz w:val="20"/>
                <w:szCs w:val="20"/>
              </w:rPr>
              <w:t>Pump discharge check valves</w:t>
            </w:r>
          </w:p>
        </w:tc>
        <w:tc>
          <w:tcPr>
            <w:tcW w:w="709" w:type="dxa"/>
            <w:tcBorders>
              <w:top w:val="single" w:sz="4" w:space="0" w:color="000000"/>
              <w:left w:val="single" w:sz="4" w:space="0" w:color="000000"/>
              <w:bottom w:val="single" w:sz="4" w:space="0" w:color="000000"/>
            </w:tcBorders>
            <w:vAlign w:val="center"/>
          </w:tcPr>
          <w:p w14:paraId="5FCD5EC4" w14:textId="77777777" w:rsidR="00DD38BB" w:rsidRDefault="00333D34">
            <w:pPr>
              <w:ind w:firstLine="0"/>
              <w:jc w:val="center"/>
              <w:rPr>
                <w:sz w:val="20"/>
                <w:szCs w:val="20"/>
              </w:rPr>
            </w:pPr>
            <w:r>
              <w:rPr>
                <w:sz w:val="20"/>
                <w:szCs w:val="20"/>
              </w:rPr>
              <w:t>3</w:t>
            </w:r>
          </w:p>
        </w:tc>
        <w:tc>
          <w:tcPr>
            <w:tcW w:w="1417" w:type="dxa"/>
            <w:tcBorders>
              <w:top w:val="single" w:sz="4" w:space="0" w:color="000000"/>
              <w:left w:val="single" w:sz="4" w:space="0" w:color="000000"/>
              <w:bottom w:val="single" w:sz="4" w:space="0" w:color="000000"/>
              <w:right w:val="single" w:sz="4" w:space="0" w:color="000000"/>
            </w:tcBorders>
          </w:tcPr>
          <w:p w14:paraId="55764F03" w14:textId="77777777" w:rsidR="00DD38BB" w:rsidRDefault="00333D34">
            <w:pPr>
              <w:ind w:firstLine="0"/>
              <w:jc w:val="center"/>
            </w:pPr>
            <w:r>
              <w:rPr>
                <w:sz w:val="20"/>
                <w:szCs w:val="20"/>
              </w:rPr>
              <w:t>Yes</w:t>
            </w:r>
          </w:p>
        </w:tc>
      </w:tr>
      <w:tr w:rsidR="00DD38BB" w14:paraId="2336D8EB" w14:textId="77777777">
        <w:tc>
          <w:tcPr>
            <w:tcW w:w="2552" w:type="dxa"/>
            <w:tcBorders>
              <w:top w:val="single" w:sz="4" w:space="0" w:color="000000"/>
              <w:left w:val="single" w:sz="4" w:space="0" w:color="000000"/>
              <w:bottom w:val="single" w:sz="4" w:space="0" w:color="000000"/>
            </w:tcBorders>
            <w:vAlign w:val="center"/>
          </w:tcPr>
          <w:p w14:paraId="342A9572" w14:textId="77777777" w:rsidR="00DD38BB" w:rsidRDefault="00333D34">
            <w:pPr>
              <w:ind w:firstLine="0"/>
              <w:jc w:val="left"/>
              <w:rPr>
                <w:sz w:val="20"/>
                <w:szCs w:val="20"/>
              </w:rPr>
            </w:pPr>
            <w:r>
              <w:rPr>
                <w:sz w:val="20"/>
                <w:szCs w:val="20"/>
              </w:rPr>
              <w:t>Motor driven pumps</w:t>
            </w:r>
          </w:p>
        </w:tc>
        <w:tc>
          <w:tcPr>
            <w:tcW w:w="709" w:type="dxa"/>
            <w:tcBorders>
              <w:top w:val="single" w:sz="4" w:space="0" w:color="000000"/>
              <w:left w:val="single" w:sz="4" w:space="0" w:color="000000"/>
              <w:bottom w:val="single" w:sz="4" w:space="0" w:color="000000"/>
            </w:tcBorders>
            <w:vAlign w:val="center"/>
          </w:tcPr>
          <w:p w14:paraId="7144751B" w14:textId="77777777" w:rsidR="00DD38BB" w:rsidRDefault="00333D34">
            <w:pPr>
              <w:ind w:firstLine="0"/>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tcPr>
          <w:p w14:paraId="65F0DFC2" w14:textId="77777777" w:rsidR="00DD38BB" w:rsidRDefault="00333D34">
            <w:pPr>
              <w:ind w:firstLine="0"/>
              <w:jc w:val="center"/>
            </w:pPr>
            <w:r>
              <w:rPr>
                <w:sz w:val="20"/>
                <w:szCs w:val="20"/>
              </w:rPr>
              <w:t>Yes</w:t>
            </w:r>
          </w:p>
        </w:tc>
      </w:tr>
    </w:tbl>
    <w:p w14:paraId="6A05A809" w14:textId="77777777" w:rsidR="00DD38BB" w:rsidRDefault="00DD38BB"/>
    <w:p w14:paraId="13BBE2BE" w14:textId="77777777" w:rsidR="00DD38BB" w:rsidRDefault="00333D34">
      <w:r>
        <w:t>Tables and figures should be placed close after their first reference in the text. All figures and tables should be numbered with Arabic numerals. Table headings should be centred above the tables. Figure captions should be centred below the figures.</w:t>
      </w:r>
    </w:p>
    <w:p w14:paraId="5A39BBE3" w14:textId="77777777" w:rsidR="00DD38BB" w:rsidRDefault="00DD38BB"/>
    <w:p w14:paraId="41C8F396" w14:textId="77777777" w:rsidR="00DD38BB" w:rsidRDefault="00DD38BB"/>
    <w:p w14:paraId="3E189672" w14:textId="77777777" w:rsidR="00DD38BB" w:rsidRDefault="00333D34">
      <w:pPr>
        <w:ind w:firstLine="0"/>
        <w:jc w:val="center"/>
        <w:rPr>
          <w:color w:val="000000"/>
        </w:rPr>
      </w:pPr>
      <w:r>
        <w:rPr>
          <w:noProof/>
          <w:lang w:val="fi-FI"/>
        </w:rPr>
        <w:drawing>
          <wp:inline distT="0" distB="0" distL="114300" distR="114300" wp14:anchorId="236B9CF8" wp14:editId="07777777">
            <wp:extent cx="2765425" cy="19742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765425" cy="1974215"/>
                    </a:xfrm>
                    <a:prstGeom prst="rect">
                      <a:avLst/>
                    </a:prstGeom>
                    <a:ln/>
                  </pic:spPr>
                </pic:pic>
              </a:graphicData>
            </a:graphic>
          </wp:inline>
        </w:drawing>
      </w:r>
      <w:r>
        <w:rPr>
          <w:color w:val="000000"/>
        </w:rPr>
        <w:t>Figure 1: Title of example figure</w:t>
      </w:r>
      <w:r>
        <w:rPr>
          <w:color w:val="000000"/>
          <w:sz w:val="24"/>
          <w:szCs w:val="24"/>
        </w:rPr>
        <w:t>.</w:t>
      </w:r>
    </w:p>
    <w:p w14:paraId="72A3D3EC" w14:textId="77777777" w:rsidR="00DD38BB" w:rsidRDefault="00DD38BB"/>
    <w:p w14:paraId="61CACB01" w14:textId="77777777" w:rsidR="00DD38BB" w:rsidRDefault="00333D34">
      <w:pPr>
        <w:pStyle w:val="Heading2"/>
        <w:numPr>
          <w:ilvl w:val="1"/>
          <w:numId w:val="2"/>
        </w:numPr>
      </w:pPr>
      <w:r>
        <w:lastRenderedPageBreak/>
        <w:t>Equations</w:t>
      </w:r>
    </w:p>
    <w:p w14:paraId="1801D480" w14:textId="77777777" w:rsidR="00DD38BB" w:rsidRDefault="00333D34">
      <w:r>
        <w:t xml:space="preserve">Each equation should be presented on a separate line from the text with a blank space above and below. Equations should be clear and expressions used should be explained in the text. The equations should be numbered consecutively at the outer right margin, as shown in Eq. (1) below. Here is one example. </w:t>
      </w:r>
      <w:r w:rsidR="00D92084">
        <w:t>The Fourier series is defined as</w:t>
      </w:r>
      <w:r>
        <w:t>:</w:t>
      </w:r>
    </w:p>
    <w:p w14:paraId="0D0B940D" w14:textId="77777777" w:rsidR="003B75A9" w:rsidRDefault="003B75A9"/>
    <w:p w14:paraId="4EAB0230" w14:textId="77777777" w:rsidR="00D92084" w:rsidRDefault="00D92084" w:rsidP="00D92084">
      <w:pPr>
        <w:ind w:firstLine="0"/>
        <w:jc w:val="right"/>
      </w:pP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0</m:t>
            </m:r>
          </m:sub>
        </m:sSub>
        <m:r>
          <w:rPr>
            <w:rFonts w:ascii="Cambria Math" w:hAnsi="Cambria Math"/>
          </w:rPr>
          <m:t>+</m:t>
        </m:r>
        <m:nary>
          <m:naryPr>
            <m:chr m:val="∑"/>
            <m:grow m:val="1"/>
            <m:ctrlPr>
              <w:rPr>
                <w:rFonts w:ascii="Cambria Math" w:hAnsi="Cambria Math"/>
              </w:rPr>
            </m:ctrlPr>
          </m:naryPr>
          <m:sub>
            <m:r>
              <w:rPr>
                <w:rFonts w:ascii="Cambria Math" w:hAnsi="Cambria Math"/>
              </w:rPr>
              <m:t>n=1</m:t>
            </m:r>
          </m:sub>
          <m:sup>
            <m: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b</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sin</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e>
            </m:d>
          </m:e>
        </m:nary>
      </m:oMath>
      <w:r>
        <w:t xml:space="preserve"> </w:t>
      </w:r>
      <w:r>
        <w:tab/>
        <w:t xml:space="preserve"> (1)</w:t>
      </w:r>
    </w:p>
    <w:p w14:paraId="0E27B00A" w14:textId="77777777" w:rsidR="00DD38BB" w:rsidRDefault="00DD38BB">
      <w:pPr>
        <w:pStyle w:val="Heading2"/>
        <w:ind w:left="855" w:firstLine="0"/>
      </w:pPr>
    </w:p>
    <w:p w14:paraId="071E4E01" w14:textId="77777777" w:rsidR="00DD38BB" w:rsidRDefault="00333D34">
      <w:pPr>
        <w:pStyle w:val="Heading2"/>
        <w:numPr>
          <w:ilvl w:val="1"/>
          <w:numId w:val="2"/>
        </w:numPr>
      </w:pPr>
      <w:r>
        <w:t>References</w:t>
      </w:r>
    </w:p>
    <w:p w14:paraId="3EEAED84" w14:textId="77777777" w:rsidR="00DD38BB" w:rsidRDefault="00333D34">
      <w:r>
        <w:t>Reference numbers in the text should be designated by square brackets, e.g., [1]. The references should be listed in the same order as cited in the text. See also examples in the REFERENCES section of this template.</w:t>
      </w:r>
    </w:p>
    <w:p w14:paraId="2E0BB16D" w14:textId="77777777" w:rsidR="00DD38BB" w:rsidRDefault="00333D34">
      <w:pPr>
        <w:pStyle w:val="Heading1"/>
        <w:numPr>
          <w:ilvl w:val="0"/>
          <w:numId w:val="2"/>
        </w:numPr>
      </w:pPr>
      <w:r>
        <w:t>CONCLUSIONS</w:t>
      </w:r>
    </w:p>
    <w:p w14:paraId="2FFECC0A" w14:textId="77777777" w:rsidR="00DD38BB" w:rsidRDefault="00333D34">
      <w:r>
        <w:t>Conclusions should state concisely the most important propositions of the paper as well as the author’s views of the practical implications of the results.</w:t>
      </w:r>
    </w:p>
    <w:p w14:paraId="60061E4C" w14:textId="77777777" w:rsidR="00DD38BB" w:rsidRDefault="00DD38BB">
      <w:bookmarkStart w:id="0" w:name="_3znysh7" w:colFirst="0" w:colLast="0"/>
      <w:bookmarkEnd w:id="0"/>
    </w:p>
    <w:p w14:paraId="5A395EEC" w14:textId="77777777" w:rsidR="00DD38BB" w:rsidRDefault="00333D34">
      <w:pPr>
        <w:pStyle w:val="Heading1"/>
      </w:pPr>
      <w:r>
        <w:t>ACKNOWLEDGEMENTS</w:t>
      </w:r>
    </w:p>
    <w:p w14:paraId="5B2D824B" w14:textId="77777777" w:rsidR="00DD38BB" w:rsidRDefault="00333D34">
      <w:r>
        <w:t xml:space="preserve">This template was adopted from the website of the 11th International Conference of the Croatian Nuclear Society with their kind support. </w:t>
      </w:r>
    </w:p>
    <w:p w14:paraId="7797E7DE" w14:textId="77777777" w:rsidR="00DD38BB" w:rsidRDefault="00333D34">
      <w:pPr>
        <w:keepNext/>
        <w:pBdr>
          <w:top w:val="nil"/>
          <w:left w:val="nil"/>
          <w:bottom w:val="nil"/>
          <w:right w:val="nil"/>
          <w:between w:val="nil"/>
        </w:pBdr>
        <w:spacing w:before="240" w:after="240"/>
        <w:ind w:firstLine="0"/>
        <w:jc w:val="left"/>
        <w:rPr>
          <w:b/>
          <w:smallCaps/>
          <w:color w:val="000000"/>
          <w:sz w:val="24"/>
          <w:szCs w:val="24"/>
        </w:rPr>
      </w:pPr>
      <w:bookmarkStart w:id="1" w:name="_2et92p0" w:colFirst="0" w:colLast="0"/>
      <w:bookmarkEnd w:id="1"/>
      <w:r>
        <w:rPr>
          <w:b/>
          <w:smallCaps/>
          <w:color w:val="000000"/>
          <w:sz w:val="24"/>
          <w:szCs w:val="24"/>
        </w:rPr>
        <w:t>REFERENCES</w:t>
      </w:r>
    </w:p>
    <w:p w14:paraId="1B447373" w14:textId="77777777" w:rsidR="00DD38BB" w:rsidRDefault="00333D34">
      <w:pPr>
        <w:numPr>
          <w:ilvl w:val="0"/>
          <w:numId w:val="1"/>
        </w:numPr>
        <w:pBdr>
          <w:top w:val="nil"/>
          <w:left w:val="nil"/>
          <w:bottom w:val="nil"/>
          <w:right w:val="nil"/>
          <w:between w:val="nil"/>
        </w:pBdr>
        <w:spacing w:after="240"/>
        <w:jc w:val="left"/>
        <w:rPr>
          <w:color w:val="000000"/>
        </w:rPr>
      </w:pPr>
      <w:r>
        <w:rPr>
          <w:color w:val="000000"/>
        </w:rPr>
        <w:t>International Atomic Energy Agency, “Procedures for Conducting Common Cause Failure Analysis in Probabilistic Safety Assessment”, IAEA-TECDOC-648, 1992</w:t>
      </w:r>
    </w:p>
    <w:p w14:paraId="52E4B3FF" w14:textId="77777777" w:rsidR="00DD38BB" w:rsidRDefault="00333D34">
      <w:pPr>
        <w:numPr>
          <w:ilvl w:val="0"/>
          <w:numId w:val="1"/>
        </w:numPr>
        <w:pBdr>
          <w:top w:val="nil"/>
          <w:left w:val="nil"/>
          <w:bottom w:val="nil"/>
          <w:right w:val="nil"/>
          <w:between w:val="nil"/>
        </w:pBdr>
        <w:spacing w:after="240"/>
        <w:jc w:val="left"/>
        <w:rPr>
          <w:color w:val="000000"/>
        </w:rPr>
      </w:pPr>
      <w:bookmarkStart w:id="2" w:name="_tyjcwt" w:colFirst="0" w:colLast="0"/>
      <w:bookmarkEnd w:id="2"/>
      <w:r>
        <w:rPr>
          <w:color w:val="000000"/>
        </w:rPr>
        <w:t>K.N. Fleming, S.B. Rao, G.A. Tinsley, A. Mosleh, A. Afzali, “A Database of Common-Cause Events for Risk and Reliability Applications”, EPRI TR-100382, Electric Power Research Institute, Paolo Alto, CA., 1992</w:t>
      </w:r>
    </w:p>
    <w:p w14:paraId="0C260634" w14:textId="77777777" w:rsidR="00DD38BB" w:rsidRDefault="00333D34">
      <w:pPr>
        <w:numPr>
          <w:ilvl w:val="0"/>
          <w:numId w:val="1"/>
        </w:numPr>
        <w:pBdr>
          <w:top w:val="nil"/>
          <w:left w:val="nil"/>
          <w:bottom w:val="nil"/>
          <w:right w:val="nil"/>
          <w:between w:val="nil"/>
        </w:pBdr>
        <w:spacing w:after="240"/>
        <w:jc w:val="left"/>
        <w:rPr>
          <w:color w:val="000000"/>
        </w:rPr>
      </w:pPr>
      <w:bookmarkStart w:id="3" w:name="_3dy6vkm" w:colFirst="0" w:colLast="0"/>
      <w:bookmarkEnd w:id="3"/>
      <w:r>
        <w:rPr>
          <w:color w:val="000000"/>
        </w:rPr>
        <w:t xml:space="preserve">A. Mosleh, K.N. Fleming, G.W. Parry, H.M. Paula, D.M. Rasmuson, D.H. </w:t>
      </w:r>
      <w:proofErr w:type="spellStart"/>
      <w:r>
        <w:rPr>
          <w:color w:val="000000"/>
        </w:rPr>
        <w:t>Worledge</w:t>
      </w:r>
      <w:proofErr w:type="spellEnd"/>
      <w:r>
        <w:rPr>
          <w:color w:val="000000"/>
        </w:rPr>
        <w:t xml:space="preserve">, “Procedures for Treating Common Cause Failures in Safety and Reliability Studies”, NUREG/CR-4780, EPRI NP-5613, Electric </w:t>
      </w:r>
      <w:r>
        <w:rPr>
          <w:color w:val="000000"/>
        </w:rPr>
        <w:t>Power Research Institute, Paolo Alto, CA., Vol. 1 (1998), Vol. 2 (1999)</w:t>
      </w:r>
    </w:p>
    <w:p w14:paraId="7B400AC0" w14:textId="77777777" w:rsidR="00DD38BB" w:rsidRDefault="00333D34">
      <w:pPr>
        <w:numPr>
          <w:ilvl w:val="0"/>
          <w:numId w:val="1"/>
        </w:numPr>
        <w:pBdr>
          <w:top w:val="nil"/>
          <w:left w:val="nil"/>
          <w:bottom w:val="nil"/>
          <w:right w:val="nil"/>
          <w:between w:val="nil"/>
        </w:pBdr>
        <w:spacing w:after="240"/>
        <w:jc w:val="left"/>
        <w:rPr>
          <w:color w:val="000000"/>
        </w:rPr>
      </w:pPr>
      <w:bookmarkStart w:id="4" w:name="_1t3h5sf" w:colFirst="0" w:colLast="0"/>
      <w:bookmarkEnd w:id="4"/>
      <w:r>
        <w:rPr>
          <w:color w:val="000000"/>
        </w:rPr>
        <w:t>Relcon AB, “Risk Spectrum Professional User’s Manual”, 1998</w:t>
      </w:r>
    </w:p>
    <w:p w14:paraId="44EAFD9C" w14:textId="77777777" w:rsidR="00DD38BB" w:rsidRDefault="00DD38BB"/>
    <w:sectPr w:rsidR="00DD38BB">
      <w:headerReference w:type="default" r:id="rId12"/>
      <w:type w:val="continuous"/>
      <w:pgSz w:w="11906" w:h="16838"/>
      <w:pgMar w:top="1134" w:right="1134" w:bottom="1134" w:left="1134" w:header="907" w:footer="907" w:gutter="0"/>
      <w:cols w:num="2" w:space="708" w:equalWidth="0">
        <w:col w:w="4648" w:space="340"/>
        <w:col w:w="464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6206D" w14:textId="77777777" w:rsidR="0093595A" w:rsidRDefault="0093595A">
      <w:r>
        <w:separator/>
      </w:r>
    </w:p>
  </w:endnote>
  <w:endnote w:type="continuationSeparator" w:id="0">
    <w:p w14:paraId="431BAF5B" w14:textId="77777777" w:rsidR="0093595A" w:rsidRDefault="0093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C669" w14:textId="77777777" w:rsidR="00DD38BB" w:rsidRDefault="00DD38BB">
    <w:pPr>
      <w:pBdr>
        <w:top w:val="nil"/>
        <w:left w:val="nil"/>
        <w:bottom w:val="nil"/>
        <w:right w:val="nil"/>
        <w:between w:val="nil"/>
      </w:pBdr>
      <w:tabs>
        <w:tab w:val="center" w:pos="4153"/>
        <w:tab w:val="right" w:pos="8306"/>
      </w:tabs>
      <w:jc w:val="center"/>
      <w:rPr>
        <w:color w:val="000000"/>
        <w:sz w:val="18"/>
        <w:szCs w:val="18"/>
      </w:rPr>
    </w:pPr>
  </w:p>
  <w:p w14:paraId="6A4730AE" w14:textId="77777777" w:rsidR="00DD38BB" w:rsidRDefault="00333D34">
    <w:pPr>
      <w:pBdr>
        <w:top w:val="nil"/>
        <w:left w:val="nil"/>
        <w:bottom w:val="nil"/>
        <w:right w:val="nil"/>
        <w:between w:val="nil"/>
      </w:pBdr>
      <w:tabs>
        <w:tab w:val="center" w:pos="4153"/>
        <w:tab w:val="right" w:pos="8306"/>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3B75A9">
      <w:rPr>
        <w:noProof/>
        <w:color w:val="000000"/>
        <w:sz w:val="18"/>
        <w:szCs w:val="18"/>
      </w:rPr>
      <w:t>2</w:t>
    </w:r>
    <w:r>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62953" w14:textId="77777777" w:rsidR="00DD38BB" w:rsidRDefault="00333D34">
    <w:pPr>
      <w:pBdr>
        <w:top w:val="nil"/>
        <w:left w:val="nil"/>
        <w:bottom w:val="nil"/>
        <w:right w:val="nil"/>
        <w:between w:val="nil"/>
      </w:pBdr>
      <w:tabs>
        <w:tab w:val="center" w:pos="4153"/>
        <w:tab w:val="right" w:pos="8306"/>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3B75A9">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52EEA" w14:textId="77777777" w:rsidR="0093595A" w:rsidRDefault="0093595A">
      <w:r>
        <w:separator/>
      </w:r>
    </w:p>
  </w:footnote>
  <w:footnote w:type="continuationSeparator" w:id="0">
    <w:p w14:paraId="28DE7876" w14:textId="77777777" w:rsidR="0093595A" w:rsidRDefault="00935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566032A4" w14:paraId="2323433A" w14:textId="77777777" w:rsidTr="566032A4">
      <w:tc>
        <w:tcPr>
          <w:tcW w:w="3210" w:type="dxa"/>
        </w:tcPr>
        <w:p w14:paraId="4ACA60A8" w14:textId="6D2DFB09" w:rsidR="566032A4" w:rsidRDefault="566032A4" w:rsidP="566032A4">
          <w:pPr>
            <w:pStyle w:val="Header"/>
            <w:ind w:left="-115"/>
            <w:jc w:val="left"/>
          </w:pPr>
        </w:p>
      </w:tc>
      <w:tc>
        <w:tcPr>
          <w:tcW w:w="3210" w:type="dxa"/>
        </w:tcPr>
        <w:p w14:paraId="122EF840" w14:textId="13D513C2" w:rsidR="566032A4" w:rsidRDefault="566032A4" w:rsidP="566032A4">
          <w:pPr>
            <w:pStyle w:val="Header"/>
            <w:jc w:val="center"/>
          </w:pPr>
        </w:p>
      </w:tc>
      <w:tc>
        <w:tcPr>
          <w:tcW w:w="3210" w:type="dxa"/>
        </w:tcPr>
        <w:p w14:paraId="09632621" w14:textId="4FE45698" w:rsidR="566032A4" w:rsidRDefault="566032A4" w:rsidP="566032A4">
          <w:pPr>
            <w:pStyle w:val="Header"/>
            <w:ind w:right="-115"/>
            <w:jc w:val="right"/>
          </w:pPr>
        </w:p>
      </w:tc>
    </w:tr>
  </w:tbl>
  <w:p w14:paraId="65FE1AEF" w14:textId="7628889C" w:rsidR="566032A4" w:rsidRDefault="566032A4" w:rsidP="566032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B1AFF" w14:textId="4DCEFDA0" w:rsidR="00DD38BB" w:rsidRDefault="566032A4" w:rsidP="566032A4">
    <w:pPr>
      <w:pBdr>
        <w:top w:val="nil"/>
        <w:left w:val="nil"/>
        <w:bottom w:val="nil"/>
        <w:right w:val="nil"/>
        <w:between w:val="nil"/>
      </w:pBdr>
      <w:tabs>
        <w:tab w:val="left" w:pos="1701"/>
        <w:tab w:val="left" w:pos="2268"/>
        <w:tab w:val="left" w:pos="5670"/>
        <w:tab w:val="left" w:pos="6237"/>
        <w:tab w:val="right" w:pos="9639"/>
      </w:tabs>
      <w:ind w:firstLine="0"/>
      <w:rPr>
        <w:i/>
        <w:iCs/>
        <w:sz w:val="18"/>
        <w:szCs w:val="18"/>
      </w:rPr>
    </w:pPr>
    <w:r w:rsidRPr="566032A4">
      <w:rPr>
        <w:i/>
        <w:iCs/>
        <w:color w:val="000000" w:themeColor="text1"/>
        <w:sz w:val="18"/>
        <w:szCs w:val="18"/>
      </w:rPr>
      <w:t>Nuclear Science and Technology Symposium - SYP202</w:t>
    </w:r>
    <w:r w:rsidR="00276BC7">
      <w:rPr>
        <w:i/>
        <w:iCs/>
        <w:color w:val="000000" w:themeColor="text1"/>
        <w:sz w:val="18"/>
        <w:szCs w:val="18"/>
      </w:rPr>
      <w:t>5</w:t>
    </w:r>
  </w:p>
  <w:p w14:paraId="447647DF" w14:textId="57A4AEA6" w:rsidR="003B75A9" w:rsidRDefault="00276BC7" w:rsidP="566032A4">
    <w:pPr>
      <w:pBdr>
        <w:top w:val="nil"/>
        <w:left w:val="nil"/>
        <w:bottom w:val="nil"/>
        <w:right w:val="nil"/>
        <w:between w:val="nil"/>
      </w:pBdr>
      <w:tabs>
        <w:tab w:val="left" w:pos="1701"/>
        <w:tab w:val="left" w:pos="2268"/>
        <w:tab w:val="left" w:pos="5670"/>
        <w:tab w:val="left" w:pos="6237"/>
        <w:tab w:val="right" w:pos="9639"/>
      </w:tabs>
      <w:ind w:firstLine="0"/>
      <w:jc w:val="left"/>
      <w:rPr>
        <w:i/>
        <w:iCs/>
        <w:color w:val="000000"/>
        <w:sz w:val="18"/>
        <w:szCs w:val="18"/>
      </w:rPr>
    </w:pPr>
    <w:r>
      <w:rPr>
        <w:i/>
        <w:iCs/>
        <w:color w:val="000000" w:themeColor="text1"/>
        <w:sz w:val="18"/>
        <w:szCs w:val="18"/>
      </w:rPr>
      <w:t>Espoo</w:t>
    </w:r>
    <w:r w:rsidR="566032A4" w:rsidRPr="566032A4">
      <w:rPr>
        <w:i/>
        <w:iCs/>
        <w:color w:val="000000" w:themeColor="text1"/>
        <w:sz w:val="18"/>
        <w:szCs w:val="18"/>
      </w:rPr>
      <w:t xml:space="preserve">, Finland, </w:t>
    </w:r>
    <w:r>
      <w:rPr>
        <w:i/>
        <w:iCs/>
        <w:color w:val="000000" w:themeColor="text1"/>
        <w:sz w:val="18"/>
        <w:szCs w:val="18"/>
      </w:rPr>
      <w:t>2</w:t>
    </w:r>
    <w:r w:rsidR="566032A4" w:rsidRPr="566032A4">
      <w:rPr>
        <w:i/>
        <w:iCs/>
        <w:color w:val="000000" w:themeColor="text1"/>
        <w:sz w:val="18"/>
        <w:szCs w:val="18"/>
      </w:rPr>
      <w:t>1-</w:t>
    </w:r>
    <w:r>
      <w:rPr>
        <w:i/>
        <w:iCs/>
        <w:color w:val="000000" w:themeColor="text1"/>
        <w:sz w:val="18"/>
        <w:szCs w:val="18"/>
      </w:rPr>
      <w:t>2</w:t>
    </w:r>
    <w:r w:rsidR="566032A4" w:rsidRPr="566032A4">
      <w:rPr>
        <w:i/>
        <w:iCs/>
        <w:color w:val="000000" w:themeColor="text1"/>
        <w:sz w:val="18"/>
        <w:szCs w:val="18"/>
      </w:rPr>
      <w:t>2</w:t>
    </w:r>
    <w:r w:rsidR="566032A4" w:rsidRPr="566032A4">
      <w:rPr>
        <w:i/>
        <w:iCs/>
        <w:sz w:val="18"/>
        <w:szCs w:val="18"/>
      </w:rPr>
      <w:t xml:space="preserve"> </w:t>
    </w:r>
    <w:r>
      <w:rPr>
        <w:i/>
        <w:iCs/>
        <w:sz w:val="18"/>
        <w:szCs w:val="18"/>
      </w:rPr>
      <w:t>October</w:t>
    </w:r>
    <w:r w:rsidR="566032A4" w:rsidRPr="566032A4">
      <w:rPr>
        <w:i/>
        <w:iCs/>
        <w:color w:val="000000" w:themeColor="text1"/>
        <w:sz w:val="18"/>
        <w:szCs w:val="18"/>
      </w:rPr>
      <w:t xml:space="preserve"> 202</w:t>
    </w:r>
    <w:r>
      <w:rPr>
        <w:i/>
        <w:iCs/>
        <w:color w:val="000000" w:themeColor="text1"/>
        <w:sz w:val="18"/>
        <w:szCs w:val="18"/>
      </w:rPr>
      <w:t>5</w:t>
    </w:r>
  </w:p>
  <w:p w14:paraId="4B94D5A5" w14:textId="77777777" w:rsidR="00DD38BB" w:rsidRDefault="00333D34" w:rsidP="003B75A9">
    <w:pPr>
      <w:pBdr>
        <w:top w:val="nil"/>
        <w:left w:val="nil"/>
        <w:bottom w:val="nil"/>
        <w:right w:val="nil"/>
        <w:between w:val="nil"/>
      </w:pBdr>
      <w:tabs>
        <w:tab w:val="left" w:pos="1701"/>
        <w:tab w:val="left" w:pos="2268"/>
        <w:tab w:val="left" w:pos="5670"/>
        <w:tab w:val="left" w:pos="6237"/>
        <w:tab w:val="right" w:pos="9639"/>
      </w:tabs>
      <w:ind w:firstLine="0"/>
      <w:jc w:val="left"/>
      <w:rPr>
        <w:color w:val="000000"/>
        <w:sz w:val="18"/>
        <w:szCs w:val="18"/>
      </w:rPr>
    </w:pPr>
    <w:r>
      <w:rPr>
        <w:i/>
        <w:color w:val="000000"/>
        <w:sz w:val="18"/>
        <w:szCs w:val="18"/>
      </w:rPr>
      <w:tab/>
    </w:r>
    <w:r>
      <w:rPr>
        <w:i/>
        <w:color w:val="000000"/>
        <w:sz w:val="18"/>
        <w:szCs w:val="18"/>
      </w:rPr>
      <w:tab/>
    </w:r>
    <w:r>
      <w:rPr>
        <w:i/>
        <w:color w:val="000000"/>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566032A4" w14:paraId="6950DDE0" w14:textId="77777777" w:rsidTr="566032A4">
      <w:tc>
        <w:tcPr>
          <w:tcW w:w="3210" w:type="dxa"/>
        </w:tcPr>
        <w:p w14:paraId="2CFDDD6B" w14:textId="01BAF989" w:rsidR="566032A4" w:rsidRDefault="566032A4" w:rsidP="566032A4">
          <w:pPr>
            <w:pStyle w:val="Header"/>
            <w:ind w:left="-115"/>
            <w:jc w:val="left"/>
          </w:pPr>
        </w:p>
      </w:tc>
      <w:tc>
        <w:tcPr>
          <w:tcW w:w="3210" w:type="dxa"/>
        </w:tcPr>
        <w:p w14:paraId="3254524C" w14:textId="70248DAF" w:rsidR="566032A4" w:rsidRDefault="566032A4" w:rsidP="566032A4">
          <w:pPr>
            <w:pStyle w:val="Header"/>
            <w:jc w:val="center"/>
          </w:pPr>
        </w:p>
      </w:tc>
      <w:tc>
        <w:tcPr>
          <w:tcW w:w="3210" w:type="dxa"/>
        </w:tcPr>
        <w:p w14:paraId="5C1096A5" w14:textId="018CC447" w:rsidR="566032A4" w:rsidRDefault="566032A4" w:rsidP="566032A4">
          <w:pPr>
            <w:pStyle w:val="Header"/>
            <w:ind w:right="-115"/>
            <w:jc w:val="right"/>
          </w:pPr>
        </w:p>
      </w:tc>
    </w:tr>
  </w:tbl>
  <w:p w14:paraId="7974C257" w14:textId="338BF034" w:rsidR="566032A4" w:rsidRDefault="566032A4" w:rsidP="56603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F7159"/>
    <w:multiLevelType w:val="multilevel"/>
    <w:tmpl w:val="57FA78C0"/>
    <w:lvl w:ilvl="0">
      <w:start w:val="1"/>
      <w:numFmt w:val="decimal"/>
      <w:lvlText w:val="[%1]"/>
      <w:lvlJc w:val="left"/>
      <w:pPr>
        <w:ind w:left="357" w:hanging="357"/>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6C38658E"/>
    <w:multiLevelType w:val="multilevel"/>
    <w:tmpl w:val="8D28B2F6"/>
    <w:lvl w:ilvl="0">
      <w:start w:val="1"/>
      <w:numFmt w:val="decimal"/>
      <w:lvlText w:val="%1"/>
      <w:lvlJc w:val="left"/>
      <w:pPr>
        <w:ind w:left="855" w:hanging="855"/>
      </w:pPr>
      <w:rPr>
        <w:vertAlign w:val="baseline"/>
      </w:rPr>
    </w:lvl>
    <w:lvl w:ilvl="1">
      <w:start w:val="1"/>
      <w:numFmt w:val="decimal"/>
      <w:lvlText w:val="%1.%2"/>
      <w:lvlJc w:val="left"/>
      <w:pPr>
        <w:ind w:left="855" w:hanging="855"/>
      </w:pPr>
      <w:rPr>
        <w:vertAlign w:val="baseline"/>
      </w:rPr>
    </w:lvl>
    <w:lvl w:ilvl="2">
      <w:start w:val="1"/>
      <w:numFmt w:val="decimal"/>
      <w:lvlText w:val="%1.%2.%3"/>
      <w:lvlJc w:val="left"/>
      <w:pPr>
        <w:ind w:left="855" w:hanging="855"/>
      </w:pPr>
      <w:rPr>
        <w:vertAlign w:val="baseline"/>
      </w:rPr>
    </w:lvl>
    <w:lvl w:ilvl="3">
      <w:start w:val="1"/>
      <w:numFmt w:val="decimal"/>
      <w:lvlText w:val="%1.%2.%3.%4"/>
      <w:lvlJc w:val="left"/>
      <w:pPr>
        <w:ind w:left="855" w:hanging="855"/>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16cid:durableId="1561281347">
    <w:abstractNumId w:val="0"/>
  </w:num>
  <w:num w:numId="2" w16cid:durableId="1239748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8BB"/>
    <w:rsid w:val="002235C4"/>
    <w:rsid w:val="00276BC7"/>
    <w:rsid w:val="00333D34"/>
    <w:rsid w:val="003B75A9"/>
    <w:rsid w:val="0093595A"/>
    <w:rsid w:val="00A82AD3"/>
    <w:rsid w:val="00AD100E"/>
    <w:rsid w:val="00D92084"/>
    <w:rsid w:val="00DD38BB"/>
    <w:rsid w:val="566032A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345CB"/>
  <w15:docId w15:val="{548ED111-0B8D-47D5-ADEE-F3DBE932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fi-FI"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spacing w:before="240" w:after="240"/>
      <w:ind w:left="567" w:hanging="567"/>
      <w:jc w:val="left"/>
      <w:outlineLvl w:val="0"/>
    </w:pPr>
    <w:rPr>
      <w:b/>
      <w:smallCaps/>
      <w:color w:val="000000"/>
      <w:sz w:val="24"/>
      <w:szCs w:val="24"/>
    </w:rPr>
  </w:style>
  <w:style w:type="paragraph" w:styleId="Heading2">
    <w:name w:val="heading 2"/>
    <w:basedOn w:val="Normal"/>
    <w:next w:val="Normal"/>
    <w:pPr>
      <w:keepNext/>
      <w:spacing w:after="240"/>
      <w:ind w:left="567" w:hanging="567"/>
      <w:outlineLvl w:val="1"/>
    </w:pPr>
    <w:rPr>
      <w:b/>
      <w:sz w:val="24"/>
      <w:szCs w:val="24"/>
    </w:rPr>
  </w:style>
  <w:style w:type="paragraph" w:styleId="Heading3">
    <w:name w:val="heading 3"/>
    <w:basedOn w:val="Normal"/>
    <w:next w:val="Normal"/>
    <w:pPr>
      <w:keepNext/>
      <w:spacing w:after="240"/>
      <w:ind w:left="567" w:hanging="567"/>
      <w:outlineLvl w:val="2"/>
    </w:pPr>
    <w:rPr>
      <w:sz w:val="24"/>
      <w:szCs w:val="24"/>
    </w:rPr>
  </w:style>
  <w:style w:type="paragraph" w:styleId="Heading4">
    <w:name w:val="heading 4"/>
    <w:basedOn w:val="Normal"/>
    <w:next w:val="Normal"/>
    <w:pPr>
      <w:keepNext/>
      <w:spacing w:before="240" w:after="60"/>
      <w:outlineLvl w:val="3"/>
    </w:pPr>
    <w:rPr>
      <w:rFonts w:ascii="Arial" w:eastAsia="Arial" w:hAnsi="Arial" w:cs="Arial"/>
      <w:b/>
    </w:rPr>
  </w:style>
  <w:style w:type="paragraph" w:styleId="Heading5">
    <w:name w:val="heading 5"/>
    <w:basedOn w:val="Normal"/>
    <w:next w:val="Normal"/>
    <w:pPr>
      <w:spacing w:before="240" w:after="60"/>
      <w:outlineLvl w:val="4"/>
    </w:pPr>
  </w:style>
  <w:style w:type="paragraph" w:styleId="Heading6">
    <w:name w:val="heading 6"/>
    <w:basedOn w:val="Normal"/>
    <w:next w:val="Normal"/>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jc w:val="center"/>
    </w:pPr>
    <w:rPr>
      <w:rFonts w:ascii="Arial" w:eastAsia="Arial" w:hAnsi="Arial" w:cs="Arial"/>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B75A9"/>
    <w:pPr>
      <w:tabs>
        <w:tab w:val="center" w:pos="4819"/>
        <w:tab w:val="right" w:pos="9638"/>
      </w:tabs>
    </w:pPr>
  </w:style>
  <w:style w:type="character" w:customStyle="1" w:styleId="HeaderChar">
    <w:name w:val="Header Char"/>
    <w:basedOn w:val="DefaultParagraphFont"/>
    <w:link w:val="Header"/>
    <w:uiPriority w:val="99"/>
    <w:rsid w:val="003B75A9"/>
  </w:style>
  <w:style w:type="paragraph" w:styleId="Footer">
    <w:name w:val="footer"/>
    <w:basedOn w:val="Normal"/>
    <w:link w:val="FooterChar"/>
    <w:uiPriority w:val="99"/>
    <w:unhideWhenUsed/>
    <w:rsid w:val="003B75A9"/>
    <w:pPr>
      <w:tabs>
        <w:tab w:val="center" w:pos="4819"/>
        <w:tab w:val="right" w:pos="9638"/>
      </w:tabs>
    </w:pPr>
  </w:style>
  <w:style w:type="character" w:customStyle="1" w:styleId="FooterChar">
    <w:name w:val="Footer Char"/>
    <w:basedOn w:val="DefaultParagraphFont"/>
    <w:link w:val="Footer"/>
    <w:uiPriority w:val="99"/>
    <w:rsid w:val="003B75A9"/>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3403</Characters>
  <Application>Microsoft Office Word</Application>
  <DocSecurity>0</DocSecurity>
  <Lines>28</Lines>
  <Paragraphs>7</Paragraphs>
  <ScaleCrop>false</ScaleCrop>
  <Company>VTT</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Tulkki Ville</dc:creator>
  <cp:lastModifiedBy>Sallyla Teemu</cp:lastModifiedBy>
  <cp:revision>6</cp:revision>
  <dcterms:created xsi:type="dcterms:W3CDTF">2019-01-17T12:14:00Z</dcterms:created>
  <dcterms:modified xsi:type="dcterms:W3CDTF">2025-03-31T18:06:00Z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5044c0-b6aa-4b2b-834d-65c9ef8bb134_Enabled">
    <vt:lpwstr>true</vt:lpwstr>
  </property>
  <property fmtid="{D5CDD505-2E9C-101B-9397-08002B2CF9AE}" pid="3" name="MSIP_Label_f45044c0-b6aa-4b2b-834d-65c9ef8bb134_SetDate">
    <vt:lpwstr>2025-03-31T18:06:22Z</vt:lpwstr>
  </property>
  <property fmtid="{D5CDD505-2E9C-101B-9397-08002B2CF9AE}" pid="4" name="MSIP_Label_f45044c0-b6aa-4b2b-834d-65c9ef8bb134_Method">
    <vt:lpwstr>Standard</vt:lpwstr>
  </property>
  <property fmtid="{D5CDD505-2E9C-101B-9397-08002B2CF9AE}" pid="5" name="MSIP_Label_f45044c0-b6aa-4b2b-834d-65c9ef8bb134_Name">
    <vt:lpwstr>f45044c0-b6aa-4b2b-834d-65c9ef8bb134</vt:lpwstr>
  </property>
  <property fmtid="{D5CDD505-2E9C-101B-9397-08002B2CF9AE}" pid="6" name="MSIP_Label_f45044c0-b6aa-4b2b-834d-65c9ef8bb134_SiteId">
    <vt:lpwstr>62a9c2c8-8b09-43be-a7fb-9a87875714a9</vt:lpwstr>
  </property>
  <property fmtid="{D5CDD505-2E9C-101B-9397-08002B2CF9AE}" pid="7" name="MSIP_Label_f45044c0-b6aa-4b2b-834d-65c9ef8bb134_ActionId">
    <vt:lpwstr>68caa350-786e-469b-9165-0e4c042a667c</vt:lpwstr>
  </property>
  <property fmtid="{D5CDD505-2E9C-101B-9397-08002B2CF9AE}" pid="8" name="MSIP_Label_f45044c0-b6aa-4b2b-834d-65c9ef8bb134_ContentBits">
    <vt:lpwstr>0</vt:lpwstr>
  </property>
  <property fmtid="{D5CDD505-2E9C-101B-9397-08002B2CF9AE}" pid="9" name="MSIP_Label_f45044c0-b6aa-4b2b-834d-65c9ef8bb134_Tag">
    <vt:lpwstr>10, 3, 0, 1</vt:lpwstr>
  </property>
</Properties>
</file>