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12"/>
        <w:ind w:right="0" w:left="0" w:firstLine="0"/>
        <w:jc w:val="both"/>
        <w:rPr>
          <w:rFonts w:ascii="Arial" w:hAnsi="Arial" w:cs="Arial" w:eastAsia="Arial"/>
          <w:color w:val="auto"/>
          <w:spacing w:val="0"/>
          <w:position w:val="0"/>
          <w:sz w:val="24"/>
          <w:shd w:fill="auto" w:val="clear"/>
        </w:rPr>
      </w:pPr>
    </w:p>
    <w:p>
      <w:pPr>
        <w:spacing w:before="0" w:after="200" w:line="312"/>
        <w:ind w:right="0" w:left="0" w:firstLine="0"/>
        <w:jc w:val="left"/>
        <w:rPr>
          <w:rFonts w:ascii="Arial" w:hAnsi="Arial" w:cs="Arial" w:eastAsia="Arial"/>
          <w:color w:val="auto"/>
          <w:spacing w:val="0"/>
          <w:position w:val="0"/>
          <w:sz w:val="24"/>
          <w:shd w:fill="auto" w:val="clear"/>
        </w:rPr>
      </w:pPr>
    </w:p>
    <w:p>
      <w:pPr>
        <w:spacing w:before="0" w:after="200" w:line="312"/>
        <w:ind w:right="0" w:left="0" w:firstLine="0"/>
        <w:jc w:val="left"/>
        <w:rPr>
          <w:rFonts w:ascii="Arial" w:hAnsi="Arial" w:cs="Arial" w:eastAsia="Arial"/>
          <w:color w:val="auto"/>
          <w:spacing w:val="0"/>
          <w:position w:val="0"/>
          <w:sz w:val="24"/>
          <w:shd w:fill="auto" w:val="clear"/>
        </w:rPr>
      </w:pPr>
    </w:p>
    <w:p>
      <w:pPr>
        <w:spacing w:before="0" w:after="160" w:line="278"/>
        <w:ind w:right="0" w:left="0" w:firstLine="0"/>
        <w:jc w:val="left"/>
        <w:rPr>
          <w:rFonts w:ascii="Arial" w:hAnsi="Arial" w:cs="Arial" w:eastAsia="Arial"/>
          <w:color w:val="auto"/>
          <w:spacing w:val="0"/>
          <w:position w:val="0"/>
          <w:sz w:val="24"/>
          <w:shd w:fill="auto" w:val="clear"/>
        </w:rPr>
      </w:pPr>
    </w:p>
    <w:p>
      <w:pPr>
        <w:spacing w:before="0" w:after="160" w:line="278"/>
        <w:ind w:right="0" w:left="0" w:firstLine="0"/>
        <w:jc w:val="left"/>
        <w:rPr>
          <w:rFonts w:ascii="Arial" w:hAnsi="Arial" w:cs="Arial" w:eastAsia="Arial"/>
          <w:color w:val="auto"/>
          <w:spacing w:val="0"/>
          <w:position w:val="0"/>
          <w:sz w:val="24"/>
          <w:shd w:fill="auto" w:val="clear"/>
        </w:rPr>
      </w:pPr>
    </w:p>
    <w:p>
      <w:pPr>
        <w:spacing w:before="0" w:after="160" w:line="278"/>
        <w:ind w:right="0" w:left="0" w:firstLine="0"/>
        <w:jc w:val="left"/>
        <w:rPr>
          <w:rFonts w:ascii="Arial" w:hAnsi="Arial" w:cs="Arial" w:eastAsia="Arial"/>
          <w:color w:val="auto"/>
          <w:spacing w:val="0"/>
          <w:position w:val="0"/>
          <w:sz w:val="24"/>
          <w:shd w:fill="auto" w:val="clear"/>
        </w:rPr>
      </w:pPr>
    </w:p>
    <w:p>
      <w:pPr>
        <w:spacing w:before="0" w:after="160" w:line="278"/>
        <w:ind w:right="0" w:left="0" w:firstLine="0"/>
        <w:jc w:val="left"/>
        <w:rPr>
          <w:rFonts w:ascii="Arial" w:hAnsi="Arial" w:cs="Arial" w:eastAsia="Arial"/>
          <w:color w:val="auto"/>
          <w:spacing w:val="0"/>
          <w:position w:val="0"/>
          <w:sz w:val="24"/>
          <w:shd w:fill="auto" w:val="clear"/>
        </w:rPr>
      </w:pPr>
    </w:p>
    <w:p>
      <w:pPr>
        <w:spacing w:before="0" w:after="160" w:line="278"/>
        <w:ind w:right="0" w:left="0" w:firstLine="1276"/>
        <w:jc w:val="left"/>
        <w:rPr>
          <w:rFonts w:ascii="Arial" w:hAnsi="Arial" w:cs="Arial" w:eastAsia="Arial"/>
          <w:color w:val="auto"/>
          <w:spacing w:val="0"/>
          <w:position w:val="0"/>
          <w:sz w:val="24"/>
          <w:shd w:fill="auto" w:val="clear"/>
        </w:rPr>
      </w:pPr>
    </w:p>
    <w:p>
      <w:pPr>
        <w:suppressAutoHyphens w:val="true"/>
        <w:spacing w:before="0" w:after="200" w:line="312"/>
        <w:ind w:right="0" w:left="1276" w:firstLine="0"/>
        <w:jc w:val="left"/>
        <w:rPr>
          <w:rFonts w:ascii="Arial" w:hAnsi="Arial" w:cs="Arial" w:eastAsia="Arial"/>
          <w:color w:val="auto"/>
          <w:spacing w:val="0"/>
          <w:position w:val="0"/>
          <w:sz w:val="48"/>
          <w:shd w:fill="auto" w:val="clear"/>
        </w:rPr>
      </w:pPr>
      <w:r>
        <w:rPr>
          <w:rFonts w:ascii="Arial" w:hAnsi="Arial" w:cs="Arial" w:eastAsia="Arial"/>
          <w:color w:val="auto"/>
          <w:spacing w:val="0"/>
          <w:position w:val="0"/>
          <w:sz w:val="48"/>
          <w:shd w:fill="auto" w:val="clear"/>
        </w:rPr>
        <w:t xml:space="preserve">Sairaanhoitajien akuutin kivunhoitotyön osaamisen kartoittaminen kotisairaalassa</w:t>
      </w:r>
    </w:p>
    <w:p>
      <w:pPr>
        <w:suppressAutoHyphens w:val="true"/>
        <w:spacing w:before="2520" w:after="160" w:line="312"/>
        <w:ind w:right="0" w:left="1276" w:firstLine="0"/>
        <w:jc w:val="left"/>
        <w:rPr>
          <w:rFonts w:ascii="Arial" w:hAnsi="Arial" w:cs="Arial" w:eastAsia="Arial"/>
          <w:color w:val="auto"/>
          <w:spacing w:val="0"/>
          <w:position w:val="0"/>
          <w:sz w:val="32"/>
          <w:shd w:fill="auto" w:val="clear"/>
        </w:rPr>
      </w:pPr>
      <w:r>
        <w:object w:dxaOrig="4805" w:dyaOrig="2677">
          <v:rect xmlns:o="urn:schemas-microsoft-com:office:office" xmlns:v="urn:schemas-microsoft-com:vml" id="rectole0000000000" style="width:240.250000pt;height:133.8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keepNext w:val="true"/>
        <w:keepLines w:val="true"/>
        <w:numPr>
          <w:ilvl w:val="0"/>
          <w:numId w:val="7"/>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Sisältö</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1 Tausta ja tarve</w:t>
      </w:r>
      <w:r>
        <w:rPr>
          <w:rFonts w:ascii="Arial" w:hAnsi="Arial" w:cs="Arial" w:eastAsia="Arial"/>
          <w:b/>
          <w:color w:val="auto"/>
          <w:spacing w:val="0"/>
          <w:position w:val="0"/>
          <w:sz w:val="24"/>
          <w:shd w:fill="auto" w:val="clear"/>
        </w:rPr>
        <w:tab/>
        <w:t xml:space="preserve">3</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2 Toimeksiantaja ja toimintaympäristö</w:t>
      </w:r>
      <w:r>
        <w:rPr>
          <w:rFonts w:ascii="Arial" w:hAnsi="Arial" w:cs="Arial" w:eastAsia="Arial"/>
          <w:b/>
          <w:color w:val="auto"/>
          <w:spacing w:val="0"/>
          <w:position w:val="0"/>
          <w:sz w:val="24"/>
          <w:shd w:fill="auto" w:val="clear"/>
        </w:rPr>
        <w:tab/>
        <w:t xml:space="preserve">4</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2 Sairaanhoitajien kivun hoitotyön osaamisen kartoittaminen</w:t>
      </w:r>
      <w:r>
        <w:rPr>
          <w:rFonts w:ascii="Arial" w:hAnsi="Arial" w:cs="Arial" w:eastAsia="Arial"/>
          <w:b/>
          <w:color w:val="auto"/>
          <w:spacing w:val="0"/>
          <w:position w:val="0"/>
          <w:sz w:val="24"/>
          <w:shd w:fill="auto" w:val="clear"/>
        </w:rPr>
        <w:tab/>
        <w:t xml:space="preserve">5</w:t>
      </w:r>
    </w:p>
    <w:p>
      <w:pPr>
        <w:tabs>
          <w:tab w:val="left" w:pos="510" w:leader="none"/>
          <w:tab w:val="right" w:pos="8505" w:leader="none"/>
        </w:tabs>
        <w:spacing w:before="0" w:after="0" w:line="360"/>
        <w:ind w:right="0" w:left="340" w:hanging="340"/>
        <w:jc w:val="left"/>
        <w:rPr>
          <w:rFonts w:ascii="Arial" w:hAnsi="Arial" w:cs="Arial" w:eastAsia="Arial"/>
          <w:color w:val="auto"/>
          <w:spacing w:val="0"/>
          <w:position w:val="0"/>
          <w:sz w:val="24"/>
          <w:shd w:fill="auto" w:val="clear"/>
        </w:rPr>
      </w:pPr>
      <w:r>
        <w:rPr>
          <w:rFonts w:ascii="Arial" w:hAnsi="Arial" w:cs="Arial" w:eastAsia="Arial"/>
          <w:color w:val="0000FF"/>
          <w:spacing w:val="0"/>
          <w:position w:val="0"/>
          <w:sz w:val="24"/>
          <w:u w:val="single"/>
          <w:shd w:fill="auto" w:val="clear"/>
        </w:rPr>
        <w:t xml:space="preserve">2.1 Akuutti kivunhoitotyö</w:t>
      </w:r>
      <w:r>
        <w:rPr>
          <w:rFonts w:ascii="Arial" w:hAnsi="Arial" w:cs="Arial" w:eastAsia="Arial"/>
          <w:color w:val="auto"/>
          <w:spacing w:val="0"/>
          <w:position w:val="0"/>
          <w:sz w:val="24"/>
          <w:shd w:fill="auto" w:val="clear"/>
        </w:rPr>
        <w:tab/>
        <w:t xml:space="preserve">5</w:t>
      </w:r>
    </w:p>
    <w:p>
      <w:pPr>
        <w:tabs>
          <w:tab w:val="left" w:pos="510" w:leader="none"/>
          <w:tab w:val="right" w:pos="8505" w:leader="none"/>
        </w:tabs>
        <w:spacing w:before="0" w:after="0" w:line="360"/>
        <w:ind w:right="0" w:left="340" w:hanging="340"/>
        <w:jc w:val="left"/>
        <w:rPr>
          <w:rFonts w:ascii="Arial" w:hAnsi="Arial" w:cs="Arial" w:eastAsia="Arial"/>
          <w:color w:val="auto"/>
          <w:spacing w:val="0"/>
          <w:position w:val="0"/>
          <w:sz w:val="24"/>
          <w:shd w:fill="auto" w:val="clear"/>
        </w:rPr>
      </w:pPr>
      <w:r>
        <w:rPr>
          <w:rFonts w:ascii="Arial" w:hAnsi="Arial" w:cs="Arial" w:eastAsia="Arial"/>
          <w:color w:val="0000FF"/>
          <w:spacing w:val="0"/>
          <w:position w:val="0"/>
          <w:sz w:val="24"/>
          <w:u w:val="single"/>
          <w:shd w:fill="auto" w:val="clear"/>
        </w:rPr>
        <w:t xml:space="preserve">2.2 Kotisairaala</w:t>
      </w:r>
      <w:r>
        <w:rPr>
          <w:rFonts w:ascii="Arial" w:hAnsi="Arial" w:cs="Arial" w:eastAsia="Arial"/>
          <w:color w:val="auto"/>
          <w:spacing w:val="0"/>
          <w:position w:val="0"/>
          <w:sz w:val="24"/>
          <w:shd w:fill="auto" w:val="clear"/>
        </w:rPr>
        <w:tab/>
        <w:t xml:space="preserve">6</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4 Tavoite ja tarkoitus</w:t>
      </w:r>
      <w:r>
        <w:rPr>
          <w:rFonts w:ascii="Arial" w:hAnsi="Arial" w:cs="Arial" w:eastAsia="Arial"/>
          <w:b/>
          <w:color w:val="auto"/>
          <w:spacing w:val="0"/>
          <w:position w:val="0"/>
          <w:sz w:val="24"/>
          <w:shd w:fill="auto" w:val="clear"/>
        </w:rPr>
        <w:tab/>
        <w:t xml:space="preserve">8</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3 Toteutus ja menetelmälliset ratkaisut</w:t>
      </w:r>
      <w:r>
        <w:rPr>
          <w:rFonts w:ascii="Arial" w:hAnsi="Arial" w:cs="Arial" w:eastAsia="Arial"/>
          <w:b/>
          <w:color w:val="auto"/>
          <w:spacing w:val="0"/>
          <w:position w:val="0"/>
          <w:sz w:val="24"/>
          <w:shd w:fill="auto" w:val="clear"/>
        </w:rPr>
        <w:tab/>
        <w:t xml:space="preserve">9</w:t>
      </w:r>
    </w:p>
    <w:p>
      <w:pPr>
        <w:tabs>
          <w:tab w:val="left" w:pos="510" w:leader="none"/>
          <w:tab w:val="right" w:pos="8505" w:leader="none"/>
        </w:tabs>
        <w:spacing w:before="0" w:after="0" w:line="360"/>
        <w:ind w:right="0" w:left="340" w:hanging="340"/>
        <w:jc w:val="left"/>
        <w:rPr>
          <w:rFonts w:ascii="Arial" w:hAnsi="Arial" w:cs="Arial" w:eastAsia="Arial"/>
          <w:color w:val="auto"/>
          <w:spacing w:val="0"/>
          <w:position w:val="0"/>
          <w:sz w:val="24"/>
          <w:shd w:fill="auto" w:val="clear"/>
        </w:rPr>
      </w:pPr>
      <w:r>
        <w:rPr>
          <w:rFonts w:ascii="Arial" w:hAnsi="Arial" w:cs="Arial" w:eastAsia="Arial"/>
          <w:color w:val="0000FF"/>
          <w:spacing w:val="0"/>
          <w:position w:val="0"/>
          <w:sz w:val="24"/>
          <w:u w:val="single"/>
          <w:shd w:fill="auto" w:val="clear"/>
        </w:rPr>
        <w:t xml:space="preserve">3.1 Menetelmä</w:t>
      </w:r>
      <w:r>
        <w:rPr>
          <w:rFonts w:ascii="Arial" w:hAnsi="Arial" w:cs="Arial" w:eastAsia="Arial"/>
          <w:color w:val="auto"/>
          <w:spacing w:val="0"/>
          <w:position w:val="0"/>
          <w:sz w:val="24"/>
          <w:shd w:fill="auto" w:val="clear"/>
        </w:rPr>
        <w:tab/>
        <w:t xml:space="preserve">9</w:t>
      </w:r>
    </w:p>
    <w:p>
      <w:pPr>
        <w:tabs>
          <w:tab w:val="left" w:pos="510" w:leader="none"/>
          <w:tab w:val="right" w:pos="8505" w:leader="none"/>
        </w:tabs>
        <w:spacing w:before="0" w:after="0" w:line="360"/>
        <w:ind w:right="0" w:left="340" w:hanging="340"/>
        <w:jc w:val="left"/>
        <w:rPr>
          <w:rFonts w:ascii="Arial" w:hAnsi="Arial" w:cs="Arial" w:eastAsia="Arial"/>
          <w:color w:val="auto"/>
          <w:spacing w:val="0"/>
          <w:position w:val="0"/>
          <w:sz w:val="24"/>
          <w:shd w:fill="auto" w:val="clear"/>
        </w:rPr>
      </w:pPr>
      <w:r>
        <w:rPr>
          <w:rFonts w:ascii="Arial" w:hAnsi="Arial" w:cs="Arial" w:eastAsia="Arial"/>
          <w:color w:val="0000FF"/>
          <w:spacing w:val="0"/>
          <w:position w:val="0"/>
          <w:sz w:val="24"/>
          <w:u w:val="single"/>
          <w:shd w:fill="auto" w:val="clear"/>
        </w:rPr>
        <w:t xml:space="preserve">3.2 Kohderyhmä, otos ja otantamenetelmä</w:t>
      </w:r>
      <w:r>
        <w:rPr>
          <w:rFonts w:ascii="Arial" w:hAnsi="Arial" w:cs="Arial" w:eastAsia="Arial"/>
          <w:color w:val="auto"/>
          <w:spacing w:val="0"/>
          <w:position w:val="0"/>
          <w:sz w:val="24"/>
          <w:shd w:fill="auto" w:val="clear"/>
        </w:rPr>
        <w:tab/>
        <w:t xml:space="preserve">9</w:t>
      </w:r>
    </w:p>
    <w:p>
      <w:pPr>
        <w:tabs>
          <w:tab w:val="left" w:pos="510" w:leader="none"/>
          <w:tab w:val="right" w:pos="8505" w:leader="none"/>
        </w:tabs>
        <w:spacing w:before="0" w:after="0" w:line="360"/>
        <w:ind w:right="0" w:left="340" w:hanging="340"/>
        <w:jc w:val="left"/>
        <w:rPr>
          <w:rFonts w:ascii="Arial" w:hAnsi="Arial" w:cs="Arial" w:eastAsia="Arial"/>
          <w:color w:val="auto"/>
          <w:spacing w:val="0"/>
          <w:position w:val="0"/>
          <w:sz w:val="24"/>
          <w:shd w:fill="auto" w:val="clear"/>
        </w:rPr>
      </w:pPr>
      <w:r>
        <w:rPr>
          <w:rFonts w:ascii="Arial" w:hAnsi="Arial" w:cs="Arial" w:eastAsia="Arial"/>
          <w:color w:val="0000FF"/>
          <w:spacing w:val="0"/>
          <w:position w:val="0"/>
          <w:sz w:val="24"/>
          <w:u w:val="single"/>
          <w:shd w:fill="auto" w:val="clear"/>
        </w:rPr>
        <w:t xml:space="preserve">3.3 Aineistonkeruumenetelmä, toteutus, käsittely ja analyysi</w:t>
      </w:r>
      <w:r>
        <w:rPr>
          <w:rFonts w:ascii="Arial" w:hAnsi="Arial" w:cs="Arial" w:eastAsia="Arial"/>
          <w:color w:val="auto"/>
          <w:spacing w:val="0"/>
          <w:position w:val="0"/>
          <w:sz w:val="24"/>
          <w:shd w:fill="auto" w:val="clear"/>
        </w:rPr>
        <w:tab/>
        <w:t xml:space="preserve">9</w:t>
      </w:r>
    </w:p>
    <w:p>
      <w:pPr>
        <w:tabs>
          <w:tab w:val="left" w:pos="510" w:leader="none"/>
          <w:tab w:val="right" w:pos="8505" w:leader="none"/>
        </w:tabs>
        <w:spacing w:before="0" w:after="0" w:line="360"/>
        <w:ind w:right="0" w:left="340" w:hanging="340"/>
        <w:jc w:val="left"/>
        <w:rPr>
          <w:rFonts w:ascii="Arial" w:hAnsi="Arial" w:cs="Arial" w:eastAsia="Arial"/>
          <w:color w:val="auto"/>
          <w:spacing w:val="0"/>
          <w:position w:val="0"/>
          <w:sz w:val="24"/>
          <w:shd w:fill="auto" w:val="clear"/>
        </w:rPr>
      </w:pPr>
      <w:r>
        <w:rPr>
          <w:rFonts w:ascii="Arial" w:hAnsi="Arial" w:cs="Arial" w:eastAsia="Arial"/>
          <w:color w:val="0000FF"/>
          <w:spacing w:val="0"/>
          <w:position w:val="0"/>
          <w:sz w:val="24"/>
          <w:u w:val="single"/>
          <w:shd w:fill="auto" w:val="clear"/>
        </w:rPr>
        <w:t xml:space="preserve">3.4 Aineiston hallinta ja tietosuoja</w:t>
      </w:r>
      <w:r>
        <w:rPr>
          <w:rFonts w:ascii="Arial" w:hAnsi="Arial" w:cs="Arial" w:eastAsia="Arial"/>
          <w:color w:val="auto"/>
          <w:spacing w:val="0"/>
          <w:position w:val="0"/>
          <w:sz w:val="24"/>
          <w:shd w:fill="auto" w:val="clear"/>
        </w:rPr>
        <w:tab/>
        <w:t xml:space="preserve">10</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4 Eettisyys ja luotettavuus</w:t>
      </w:r>
      <w:r>
        <w:rPr>
          <w:rFonts w:ascii="Arial" w:hAnsi="Arial" w:cs="Arial" w:eastAsia="Arial"/>
          <w:b/>
          <w:color w:val="auto"/>
          <w:spacing w:val="0"/>
          <w:position w:val="0"/>
          <w:sz w:val="24"/>
          <w:shd w:fill="auto" w:val="clear"/>
        </w:rPr>
        <w:tab/>
        <w:t xml:space="preserve">11</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5 Aikataulu, viestintä ja tehtävänjako</w:t>
      </w:r>
      <w:r>
        <w:rPr>
          <w:rFonts w:ascii="Arial" w:hAnsi="Arial" w:cs="Arial" w:eastAsia="Arial"/>
          <w:b/>
          <w:color w:val="auto"/>
          <w:spacing w:val="0"/>
          <w:position w:val="0"/>
          <w:sz w:val="24"/>
          <w:shd w:fill="auto" w:val="clear"/>
        </w:rPr>
        <w:tab/>
        <w:t xml:space="preserve">12</w:t>
      </w:r>
    </w:p>
    <w:p>
      <w:pPr>
        <w:tabs>
          <w:tab w:val="left" w:pos="510" w:leader="none"/>
          <w:tab w:val="right" w:pos="8505" w:leader="none"/>
        </w:tabs>
        <w:spacing w:before="220" w:after="0" w:line="360"/>
        <w:ind w:right="0" w:left="170" w:hanging="170"/>
        <w:jc w:val="left"/>
        <w:rPr>
          <w:rFonts w:ascii="Arial" w:hAnsi="Arial" w:cs="Arial" w:eastAsia="Arial"/>
          <w:color w:val="auto"/>
          <w:spacing w:val="0"/>
          <w:position w:val="0"/>
          <w:sz w:val="24"/>
          <w:shd w:fill="auto" w:val="clear"/>
        </w:rPr>
      </w:pPr>
      <w:r>
        <w:rPr>
          <w:rFonts w:ascii="Arial" w:hAnsi="Arial" w:cs="Arial" w:eastAsia="Arial"/>
          <w:b/>
          <w:color w:val="0000FF"/>
          <w:spacing w:val="0"/>
          <w:position w:val="0"/>
          <w:sz w:val="24"/>
          <w:u w:val="single"/>
          <w:shd w:fill="auto" w:val="clear"/>
        </w:rPr>
        <w:t xml:space="preserve">Lähteet</w:t>
      </w:r>
      <w:r>
        <w:rPr>
          <w:rFonts w:ascii="Arial" w:hAnsi="Arial" w:cs="Arial" w:eastAsia="Arial"/>
          <w:b/>
          <w:color w:val="auto"/>
          <w:spacing w:val="0"/>
          <w:position w:val="0"/>
          <w:sz w:val="24"/>
          <w:shd w:fill="auto" w:val="clear"/>
        </w:rPr>
        <w:tab/>
        <w:t xml:space="preserve">13</w:t>
      </w:r>
    </w:p>
    <w:p>
      <w:pPr>
        <w:tabs>
          <w:tab w:val="left" w:pos="510" w:leader="none"/>
          <w:tab w:val="right" w:pos="8505" w:leader="none"/>
        </w:tabs>
        <w:spacing w:before="220" w:after="0" w:line="360"/>
        <w:ind w:right="0" w:left="0" w:firstLine="0"/>
        <w:jc w:val="left"/>
        <w:rPr>
          <w:rFonts w:ascii="Arial" w:hAnsi="Arial" w:cs="Arial" w:eastAsia="Arial"/>
          <w:b/>
          <w:color w:val="auto"/>
          <w:spacing w:val="0"/>
          <w:position w:val="0"/>
          <w:sz w:val="24"/>
          <w:shd w:fill="auto" w:val="clear"/>
        </w:rPr>
      </w:pPr>
    </w:p>
    <w:p>
      <w:pPr>
        <w:spacing w:before="480" w:after="480" w:line="312"/>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32"/>
          <w:shd w:fill="auto" w:val="clear"/>
        </w:rPr>
        <w:t xml:space="preserve">Liitteet</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Liite 1. Saatekirje</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Liite 2. Aineistonhallintasuunnitelma</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Liite 3. Parityöskentelyn SWOT-analyysi</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Liite 4. Työnjako</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Liite 5. Viestintäsuunnitelma</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Liite 6. Kivunhoidon tietotesti ©Grommi-Vaajajoki-Vuotilainen-Kankkunen 2026</w:t>
      </w:r>
    </w:p>
    <w:p>
      <w:pPr>
        <w:keepNext w:val="true"/>
        <w:keepLines w:val="true"/>
        <w:pageBreakBefore w:val="true"/>
        <w:numPr>
          <w:ilvl w:val="0"/>
          <w:numId w:val="16"/>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Tausta ja tarve</w:t>
      </w:r>
    </w:p>
    <w:p>
      <w:pPr>
        <w:spacing w:before="0" w:after="0" w:line="30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Kivunhoito on sairaanhoitajan keskeinen osaamisalue, sillä noin puolet potilaista kokee kipua jossain vaiheessa sairauttaan ja kipu voi olla myös syy hoitoon hakeutumiselle. Oikea-aikainen ja asianmukainen kivunhoito vähentää päivystyspoliklinikkakäyntejä ja voi lyhentää sairaalahoitojaksojen kestoa. (Liimatainen 2018, s. 1428</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1434.) Kivunhoito edellyttää sairaanhoitajilta sekä vahvaa kliinistä osaamista että taitoa kohdata potilas kokonaisvaltaisesti. Kivun kokeminen on yksilöllistä. Erityisesti kotona tapahtuvassa hoidossa on tärkeää huomioida myös potilaan perhe ja heidän elinympäristönsä. Kivun tunnistaminen, arviointi ja hoito heijastuvat potilaan elämänlaatuun ja kokemukseen hoidosta (Matos 2023, s. 2). Akuutin kivunhoidon osaamisen kartoittaminen on tärkeää, sillä se auttaa tunnistamaan kehittämiskohteita, parantamaan potilasturvallisuutta ja hoidon laatua.  Osaamisen arvioinnin tulisi olla systemaattista, jotta voidaan varmistaa sairaanhoitajien ammattitaito ja yhtenäiset hoitokäytännöt (Wu ym. 2025, s. 2). </w:t>
      </w:r>
    </w:p>
    <w:p>
      <w:pPr>
        <w:spacing w:before="0" w:after="0" w:line="300"/>
        <w:ind w:right="0" w:left="0" w:firstLine="0"/>
        <w:jc w:val="both"/>
        <w:rPr>
          <w:rFonts w:ascii="Arial" w:hAnsi="Arial" w:cs="Arial" w:eastAsia="Arial"/>
          <w:color w:val="auto"/>
          <w:spacing w:val="0"/>
          <w:position w:val="0"/>
          <w:sz w:val="24"/>
          <w:shd w:fill="FFFF00" w:val="clear"/>
        </w:rPr>
      </w:pPr>
    </w:p>
    <w:p>
      <w:pPr>
        <w:spacing w:before="0" w:after="160" w:line="276"/>
        <w:ind w:right="0" w:left="0" w:firstLine="0"/>
        <w:jc w:val="both"/>
        <w:rPr>
          <w:rFonts w:ascii="Arial" w:hAnsi="Arial" w:cs="Arial" w:eastAsia="Arial"/>
          <w:color w:val="auto"/>
          <w:spacing w:val="0"/>
          <w:position w:val="0"/>
          <w:sz w:val="24"/>
          <w:shd w:fill="FFFF00" w:val="clear"/>
        </w:rPr>
      </w:pPr>
      <w:r>
        <w:rPr>
          <w:rFonts w:ascii="Arial" w:hAnsi="Arial" w:cs="Arial" w:eastAsia="Arial"/>
          <w:color w:val="auto"/>
          <w:spacing w:val="0"/>
          <w:position w:val="0"/>
          <w:sz w:val="24"/>
          <w:shd w:fill="auto" w:val="clear"/>
        </w:rPr>
        <w:t xml:space="preserve">Kotisairaalatoimintaa pyritään laajentamaan hyvinvointialueilla, mikä edellyttää toiminnan vakiinnuttamista ja mukauttamista osaksi palvelujärjestelmää. Kotisairaala tulisi nähdä palvelukokonaisuutena, joka toimii saumattomasti muiden hoitomuotojen rinnalla. (Härkönen ym. 2024, s. 69</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75.). Tyypillisiä kotisairaalan potilasryhmiä ovat palliatiiviset ja saattohoitopotilaat, infektiopotilaat sekä potilaat, jotka tarvitsevat suonensisäistä nesteytystä tai ravitsemusta (Härkönen ym. 2024, s. 23). Kansallisesti kotisairaalatoiminnan kehittämisen tueksi on esitetty suosituksia, joissa painotetaan toimintojen laadun määrittämistä sekä terveydenhuollon ammattilaisten osaamisvaatimusten selkeyttämistä (Härkönen ym. 2024, s. 91</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93.).</w:t>
      </w:r>
      <w:r>
        <w:rPr>
          <w:rFonts w:ascii="Arial" w:hAnsi="Arial" w:cs="Arial" w:eastAsia="Arial"/>
          <w:color w:val="auto"/>
          <w:spacing w:val="0"/>
          <w:position w:val="0"/>
          <w:sz w:val="24"/>
          <w:shd w:fill="FFFF00" w:val="clear"/>
        </w:rPr>
        <w:t xml:space="preserve"> </w:t>
      </w:r>
    </w:p>
    <w:p>
      <w:pPr>
        <w:spacing w:before="0" w:after="160" w:line="276"/>
        <w:ind w:right="0" w:left="0" w:firstLine="0"/>
        <w:jc w:val="both"/>
        <w:rPr>
          <w:rFonts w:ascii="Arial" w:hAnsi="Arial" w:cs="Arial" w:eastAsia="Arial"/>
          <w:color w:val="auto"/>
          <w:spacing w:val="0"/>
          <w:position w:val="0"/>
          <w:sz w:val="24"/>
          <w:shd w:fill="auto" w:val="clear"/>
        </w:rPr>
      </w:pPr>
    </w:p>
    <w:p>
      <w:pPr>
        <w:keepNext w:val="true"/>
        <w:keepLines w:val="true"/>
        <w:pageBreakBefore w:val="true"/>
        <w:numPr>
          <w:ilvl w:val="0"/>
          <w:numId w:val="19"/>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2 Toimeksiantaja ja toimintaympäristö</w:t>
      </w:r>
    </w:p>
    <w:p>
      <w:pPr>
        <w:spacing w:before="0" w:after="16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Toimeksiantajana toimii lehtori Salla Grommi. Opinnäytetyö toimii pohjana hankevalmisteluille ja kehittämiselle Turun ammattikorkeakoulun CARE-tutkimusryhmässä. Opinnäytetyön ohjaajana toimii lehtori Teija Franck Turun ammattikorkeakoulusta. Toimintaympäristön keskeinen yhteistyökumppani on Suomen kotisairaalayhdistys, joka perustettiin vuonna 2023. Yhdistyksen tarkoituksena on kotisairaalatoiminnan kehittäminen ja toiminnan tunnettuuden lisääminen. (Suomen kotisairaalayhdistys ry, 2025.)</w:t>
      </w:r>
    </w:p>
    <w:p>
      <w:pPr>
        <w:spacing w:before="0" w:after="160" w:line="276"/>
        <w:ind w:right="0" w:left="0" w:firstLine="0"/>
        <w:jc w:val="both"/>
        <w:rPr>
          <w:rFonts w:ascii="Arial" w:hAnsi="Arial" w:cs="Arial" w:eastAsia="Arial"/>
          <w:color w:val="auto"/>
          <w:spacing w:val="0"/>
          <w:position w:val="0"/>
          <w:sz w:val="24"/>
          <w:shd w:fill="auto" w:val="clear"/>
        </w:rPr>
      </w:pPr>
    </w:p>
    <w:p>
      <w:pPr>
        <w:keepNext w:val="true"/>
        <w:keepLines w:val="true"/>
        <w:pageBreakBefore w:val="true"/>
        <w:numPr>
          <w:ilvl w:val="0"/>
          <w:numId w:val="21"/>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Sairaanhoitajien kivun hoitotyön osaamisen kartoittaminen</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Sairaanhoitajat muodostavat terveydenhuollon suurimman ammattiryhmän, ja heidän osaamisensa vaikuttaa ratkaisevasti hoitoon pääsyyn, hoidon laatuun ja tuloksiin. (STM 2016, s. 6</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12.) Sairaanhoitajien koulutukseen tulisi lisätä kivun hoidon koulutusta. Koulutuksissa tulisi ottaa huomioon erilaiset kivun hoidon menetelmät ja huomioida oppilaiden erilaiset oppimistyylit, jotta sairaanhoitajien kivunhoidon osaaminen olisi tulevaisuudessa edistyneempää. (Efraim Kolobe ym. 2025, s. 22.) Hoitotyössä kliinistä osaamista voidaan kehittää erilaisten opetusmenetelmien avulla. (Sebold ym. 2017, s. 4184).</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Työpaikalla annettu koulutus parantaa työyhteisön kulttuuria, mikä näkyy lyhyempinä hoitojaksoina ja pienentyneinä kustannuksina. (STM 2016, s. 6</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12.) Toiminnassa on huomioitava erityisesti ammattilaisten vahva ammattitaito ja osaaminen tehdä yksin kliinisiä päätöksiä (Min Siu Chua ym. 2022, s. 646). Osaamisen kartoittamisen esteenä kuvataankin hoitohenkilökunnalla resurssien vähyys ja hoidettavien suuri määrä (Pöyskö ym. 2024, s. 450).</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Hyvän kivun hoidon perusta on kivun säännöllinen arviointi ja kirjaaminen. Kiputilanteen kokonaisvaltainen arviointi, suunnittelu ja hoito yhteisymmärryksessä potilaan kanssa lisää luottamusta ja tukee lääkehoitoa. (Heiskanen ym. 2013, s. 385.) </w:t>
      </w:r>
    </w:p>
    <w:p>
      <w:pPr>
        <w:keepNext w:val="true"/>
        <w:keepLines w:val="true"/>
        <w:numPr>
          <w:ilvl w:val="0"/>
          <w:numId w:val="23"/>
        </w:numPr>
        <w:suppressAutoHyphens w:val="true"/>
        <w:spacing w:before="480" w:after="480" w:line="312"/>
        <w:ind w:right="0" w:left="397" w:hanging="397"/>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Akuutti kivunhoitotyö</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Kansainvälisen kivuntutkimusyhdistyksen IASP:n (2020) määritelmän mukaan akuutti kipu on elimistön luonnollinen ja tärkeä varoitusmekanismi, joka aktivoituu äkillisesti kudosvaurion, leikkauksen tai muun äkillisen vamman seurauksena. Akuutti kipu alkaa yllättäen ja kestää alle 3kk (Gökce Isikli. ym. 2024, s. 300.) Kipu on yksi elämän kokemus, joka on tuttu jokaiselle ihmiselle (Vainio 2009, s. 12). Kipu voi olla lyhytaikaista eli akuuttia tai pitkäaikaista eli kroonista. (Crouch 2025.) Akuutin kivun hoito on tärkeää, koska se vaikuttaa potilaan hyvinvointiin, toipumiseen ja elämänlaatuun. Kivun hallinta vaatii nopeita ja tehokkaita toimenpiteitä sekä moniammatillista yhteistyötä. (Kiljunen ym. 2016, s. 173.) Kipu saa elimistössä aikaan muutoksia, jotka vaikuttavat elämänlaatuun, uneen, fyysiseen toimintakykyyn, mielenterveyteen ja heikentää toipumista. (Gopalan ym. 2025, s.28).</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Käypä hoito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suosituksen (2026) mukaan kipu on yksi yleisimmistä syistä terveydenhuollon vastaanottokäyntien syistä. Suomessa noin 40 % käynneistä liittyy kipuun. Kivun arvioinnin lähtökohtana onkin potilaan oma kokemus kivusta, sillä kipu on moniulotteinen ja subjektiivinen ilmiö. Jokainen ihminen kokee kivun yksilöllisesti, eikä objektiivisia mittareita voida pitää yhtä luotettavina kuin potilaan omaa arvioita (Paavola ym. 2024, s.22).</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THL:n mukaan jokaisella terveydenhuollon ammattihenkilöllä tulee merkitä potilasasiakirjoihin kaikki potilaan hoidon järjestämisen, suunnittelun, toteuttamisen ja seurannan turvaamiseksi tarvittavat tiedot. Suositeltavaa onkin, että kivunarviointia tehdään vähintään 8 tunnin välein ja kirjauksesta on tultava esille seuraavat asiat: Kivun sijainti, voimakkuus liikkeessä ja levossa, käytetyt kivunhoidon menetelmät, mahdollinen hoitovaste ja haittavaikutukset. Arvioinnin tueksi onkin hyvä käyttää standardisoituja kipumittareita, esimerkiksi kipujanaa, numeraalista asteikkoa tai verbaalista asteikkoa. Jos potilas ei pysty itse arvioimaan kipuaan, voidaan kivun olemassaoloa havainnoimalla ja arvioimalla potilaan käyttäytymistä ja fysiologisissa parametreissa tapahtuvia muutoksia (Paavola ym. 2024, s. 22).</w:t>
      </w:r>
    </w:p>
    <w:p>
      <w:pPr>
        <w:spacing w:before="0" w:after="0" w:line="30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Kivun hoitotyön kokonaisvaltainen osaaminen on olennainen osa laadukasta potilashoitoa, joka perustuu toimivaan hoitosuhteeseen. Osaamiseen kuuluu potilaan kokonaisvaltainen tutkiminen, tutkimiseen kuuluu muun muassa potilaan haastattelu ja kliininen tutkiminen. (Käypä hoito, 2026.) Suurella osalla hoitohenkilökunnasta on puutteita kivun arviointiin ja hoitoon liittyvässä tiedossa. Työpaikalla järjestettävät koulutukset sekä säännölliset kertauskurssit ovat keskeisiä keinoja vahvistaa kliinistä osaamista ja parantaa potilaiden saaman hoidon laatua. (Siddiqui ym. 2024, s.14.) </w:t>
      </w:r>
    </w:p>
    <w:p>
      <w:pPr>
        <w:keepNext w:val="true"/>
        <w:keepLines w:val="true"/>
        <w:numPr>
          <w:ilvl w:val="0"/>
          <w:numId w:val="26"/>
        </w:numPr>
        <w:suppressAutoHyphens w:val="true"/>
        <w:spacing w:before="480" w:after="480" w:line="312"/>
        <w:ind w:right="0" w:left="397" w:hanging="397"/>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Kotisairaala</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Kotisairaalatoiminta on saanut alkunsa Ranskasta 1960- luvulla, kun taas Suomessa toiminta on alkanut 1990- luvulla. Vuoden 2010 jälkeen kotisairaaloita on perustettu runsaasti kiihtyvällä tahdilla. (Ollila, 2018.)  Kotisairaalatoimintaa tarjotaan kaikilla hyvinvointialueilla (Härkönen ym. 2024, s. 18</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32). Hyvinvointialueiden on tarjottava oman alueensa asukkaille kotisairaanhoitoa osana omia peruspalvelujaan. (Terveydenhuoltolaki 30.12.2010/25).</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Kotisairaalan käynnit ovat pääsääntöisesti sairaanhoitajien toteuttamia kotikäyntejä ja lääkärin käynnit toteutetaan aina potilaiden tarpeiden mukaan. Kotisairaaloiden henkilöstörakenteet vaihtelevat kunnittain. (Härkönen ym. 2024, s. 18</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32.) Laadukas kotisairaalatoiminta perustuu näyttöön, selkeisiin tavoitteisiin ja asiakaslähtöisyyteen. Hoito on turvallista ja järjestetty selkeästi. Potilaiden tarpeet ovat kartoitettu ja hoitoon laadittu kirjallinen hoitosuunnitelma. Toimintaa ohjaavat säädökset ja sopimukset. Tehokas resurssien käyttö, henkilöstön osaaminen ja jatkuva moniammatillinen kehittäminen mahdollistavat jatkossa myös kustannustehokkaan ja oikea-aikaisen hoidon kotona. (Skarp, 2018.) Kotisairaalan sairaanhoitajalta vaaditaan kliinistä, yhteistyö-, muutos-, motivaatio-, ja kehittämisosaamista. Osattaviin taitoihin liittyy vahvasti myös asenteet, arvot ja persoonalliset ominaisuudet. (Halkola ym. 2018, s. 43.) </w:t>
      </w:r>
    </w:p>
    <w:p>
      <w:pPr>
        <w:spacing w:before="0" w:after="160" w:line="278"/>
        <w:ind w:right="0" w:left="0" w:firstLine="0"/>
        <w:jc w:val="both"/>
        <w:rPr>
          <w:rFonts w:ascii="Arial" w:hAnsi="Arial" w:cs="Arial" w:eastAsia="Arial"/>
          <w:color w:val="auto"/>
          <w:spacing w:val="0"/>
          <w:position w:val="0"/>
          <w:sz w:val="24"/>
          <w:shd w:fill="FFFF00" w:val="clear"/>
        </w:rPr>
      </w:pPr>
      <w:r>
        <w:rPr>
          <w:rFonts w:ascii="Arial" w:hAnsi="Arial" w:cs="Arial" w:eastAsia="Arial"/>
          <w:color w:val="auto"/>
          <w:spacing w:val="0"/>
          <w:position w:val="0"/>
          <w:sz w:val="24"/>
          <w:shd w:fill="auto" w:val="clear"/>
        </w:rPr>
        <w:t xml:space="preserve">Kotisairaala tarjoaa sairaalatasoista, ajallisesti rajattua hoitoa potilaan kotona. Tavoitteena on potilaiden aikainen kotiutuminen sairaalasta ja tarjota vaihtoehto osastohoidolle. Hoito kotona voi sisältää esimerkiksi suonensisäistä antibioottihoitoa ja nesteytystä. Lisäksi kotisairaala tarjoaa saattohoitoa ja mahdollistaa kuolevalle potilaalle mahdollisuuden kuolla kotona. Kotisairaala eroaa kotisairaanhoidosta ja kotihoidosta siten, että hoito on tieteellisesti vaativampaa ja hoito voi sisältää kehittyneempiä teknologisia ratkaisuja. (Lämsä, 2021, s. 1.)</w:t>
      </w:r>
    </w:p>
    <w:p>
      <w:pPr>
        <w:spacing w:before="0" w:after="16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Väestön ikääntyessä sairaalapaikkojen tarve kasvaa. Kotisairaala on todettu turvalliseksi ja tehokkaaksi vaihtoehdoksi vuodeosastohoidolle myös iäkkäille potilaille. (Valta ym. 2021, s. 2630.) Tavoitteena on vähentää laitoshoitoa, edesauttaa potilaiden nopeaa kotiutusta sekä laskea sairaalahoidon kustannuksia (Ollila, 2018). Huolimatta kotisairaalan osoitetusta tehokkuudesta toiminnan kehittäminen on ollut hitaampaa kuin palvelutarve edellyttäisi. (Min Siu Chua ym. 2022, s. 638</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639). Potilaat voivat olla kotona pidempiä aikoja, mikä parantaa elämänlaatua. Toiminta on suunnattu potilaille, jotka ovat ohittaneet sairauden akuutin vaiheen, ja joiden diagnoosi on selvä sekä taudinkuva ennustettavissa. Potilaan tila ei saa vaatia sairaalatoimintaa tai sairaalatasoista seurantaa. Kotisairaalan merkittäviin tehtäviin kuuluu myös elämän loppuvaiheen hoidon tarjoaminen potilaan kotona, jolloin mahdollistetaan arvokas ja turvallinen kuolema omassa kotiympäristössä (Ollila, 2018)</w:t>
      </w:r>
    </w:p>
    <w:p>
      <w:pPr>
        <w:spacing w:before="0" w:after="160" w:line="276"/>
        <w:ind w:right="0" w:left="0" w:firstLine="0"/>
        <w:jc w:val="both"/>
        <w:rPr>
          <w:rFonts w:ascii="Arial" w:hAnsi="Arial" w:cs="Arial" w:eastAsia="Arial"/>
          <w:color w:val="auto"/>
          <w:spacing w:val="0"/>
          <w:position w:val="0"/>
          <w:sz w:val="24"/>
          <w:shd w:fill="auto" w:val="clear"/>
        </w:rPr>
      </w:pPr>
    </w:p>
    <w:p>
      <w:pPr>
        <w:spacing w:before="0" w:after="160" w:line="278"/>
        <w:ind w:right="0" w:left="0" w:firstLine="0"/>
        <w:jc w:val="both"/>
        <w:rPr>
          <w:rFonts w:ascii="Arial" w:hAnsi="Arial" w:cs="Arial" w:eastAsia="Arial"/>
          <w:color w:val="auto"/>
          <w:spacing w:val="0"/>
          <w:position w:val="0"/>
          <w:sz w:val="24"/>
          <w:shd w:fill="FFFF00" w:val="clear"/>
        </w:rPr>
      </w:pPr>
    </w:p>
    <w:p>
      <w:pPr>
        <w:spacing w:before="0" w:after="160" w:line="278"/>
        <w:ind w:right="0" w:left="0" w:firstLine="0"/>
        <w:jc w:val="both"/>
        <w:rPr>
          <w:rFonts w:ascii="Arial" w:hAnsi="Arial" w:cs="Arial" w:eastAsia="Arial"/>
          <w:color w:val="auto"/>
          <w:spacing w:val="0"/>
          <w:position w:val="0"/>
          <w:sz w:val="24"/>
          <w:shd w:fill="FFFF00" w:val="clear"/>
        </w:rPr>
      </w:pPr>
    </w:p>
    <w:p>
      <w:pPr>
        <w:keepNext w:val="true"/>
        <w:keepLines w:val="true"/>
        <w:pageBreakBefore w:val="true"/>
        <w:numPr>
          <w:ilvl w:val="0"/>
          <w:numId w:val="30"/>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4 Tavoite ja tarkoitus</w:t>
      </w:r>
    </w:p>
    <w:p>
      <w:pPr>
        <w:spacing w:before="0" w:after="16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Opinnäytetyön tavoitteena on tuottaa tietoa, joka tukee kotisairaalassa toimivien sairaanhoitajien ammatillista kehittymistä ja edistää näyttöön perustuvaa akuutin kivun hoitotyötä. Opinnäytetyöstä saatua tietoa voidaan käyttää toimia pohjana perehdytysmateriaalille, hoitotyön ohjeistuksille tai kotisairaalan toiminnan kehittämistoimille. Opinnäytetyön tarkoituksena on kartoittaa sairaanhoitajien akuutin kivun hoitotyön osaamista kotisairaalassa.</w:t>
      </w:r>
    </w:p>
    <w:p>
      <w:pPr>
        <w:spacing w:before="0" w:after="16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Tutkimuskysymyksinä ovat: </w:t>
      </w:r>
    </w:p>
    <w:p>
      <w:pPr>
        <w:numPr>
          <w:ilvl w:val="0"/>
          <w:numId w:val="32"/>
        </w:numPr>
        <w:spacing w:before="0" w:after="160" w:line="276"/>
        <w:ind w:right="0" w:left="720" w:hanging="36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Onko työkokemuksella yhteyttä kivunhoidon menetelmien monipuolisuuteen? </w:t>
      </w:r>
    </w:p>
    <w:p>
      <w:pPr>
        <w:numPr>
          <w:ilvl w:val="0"/>
          <w:numId w:val="32"/>
        </w:numPr>
        <w:spacing w:before="0" w:after="160" w:line="276"/>
        <w:ind w:right="0" w:left="720" w:hanging="36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Arvioivatko kotisairaalan sairaanhoitajat potilaan kipua monipuolisesti?</w:t>
      </w:r>
    </w:p>
    <w:p>
      <w:pPr>
        <w:numPr>
          <w:ilvl w:val="0"/>
          <w:numId w:val="32"/>
        </w:numPr>
        <w:spacing w:before="0" w:after="160" w:line="276"/>
        <w:ind w:right="0" w:left="720" w:hanging="36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Mitkä osa-alueet kivunhoidon osaamisessa ovat vahvoja?</w:t>
      </w:r>
    </w:p>
    <w:p>
      <w:pPr>
        <w:numPr>
          <w:ilvl w:val="0"/>
          <w:numId w:val="32"/>
        </w:numPr>
        <w:spacing w:before="0" w:after="160" w:line="276"/>
        <w:ind w:right="0" w:left="720" w:hanging="36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Mitkä osa-alueet kivunhoidon osaamisesta ovat heikkoja?</w:t>
      </w:r>
    </w:p>
    <w:p>
      <w:pPr>
        <w:keepNext w:val="true"/>
        <w:keepLines w:val="true"/>
        <w:pageBreakBefore w:val="true"/>
        <w:numPr>
          <w:ilvl w:val="0"/>
          <w:numId w:val="32"/>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Toteutus ja menetelmälliset ratkaisut</w:t>
      </w:r>
    </w:p>
    <w:p>
      <w:pPr>
        <w:keepNext w:val="true"/>
        <w:keepLines w:val="true"/>
        <w:numPr>
          <w:ilvl w:val="0"/>
          <w:numId w:val="32"/>
        </w:numPr>
        <w:suppressAutoHyphens w:val="true"/>
        <w:spacing w:before="480" w:after="480" w:line="312"/>
        <w:ind w:right="0" w:left="397" w:hanging="397"/>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Menetelmä</w:t>
      </w:r>
    </w:p>
    <w:p>
      <w:pPr>
        <w:spacing w:before="0" w:after="160" w:line="278"/>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Opinnäytetyö toteutetaan määrällisenä kyselytutkimuksena. Lähestymistapa on kuvaileva ja poikkileikkausluonteinen. Kyselytutkimus soveltuu hyvin osaamisen ja kehittämistarpeiden tunnistamiseen laajemmassa kohderyhmässä, ja se mahdollistaa vastaajien tavoittamisen maantieteellisesti laajalta alueelta. (Kankkunen &amp; Vehviläinen-Julkunen 2013, s. 56</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57; Vilkka 2025, luku 4.)  </w:t>
      </w:r>
    </w:p>
    <w:p>
      <w:pPr>
        <w:keepNext w:val="true"/>
        <w:keepLines w:val="true"/>
        <w:numPr>
          <w:ilvl w:val="0"/>
          <w:numId w:val="36"/>
        </w:numPr>
        <w:suppressAutoHyphens w:val="true"/>
        <w:spacing w:before="480" w:after="480" w:line="312"/>
        <w:ind w:right="0" w:left="397" w:hanging="397"/>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Kohderyhmä, otos ja otantamenetelmä</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Opinnäytetyön kohderyhmänä ovat kotisairaalassa työskentelevät sairaanhoitajat. Kyselytutkimus jaetaan Duodecimin Hoitotyön tietokannassa sekä Kotisairaalayhdistyksen kautta. Tutkimuksessa hyödynnetään kokonaisotantaa, jossa kysely välitetään yllä mainitun jakelukanavan kautta tarkoituksena tavoittaa kotisairaaloissa toimivia sairaanhoitajia (Kankkunen &amp; Vehviläinen-Julkunen 2013, s. 104</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105). </w:t>
      </w:r>
    </w:p>
    <w:p>
      <w:pPr>
        <w:keepNext w:val="true"/>
        <w:keepLines w:val="true"/>
        <w:numPr>
          <w:ilvl w:val="0"/>
          <w:numId w:val="38"/>
        </w:numPr>
        <w:suppressAutoHyphens w:val="true"/>
        <w:spacing w:before="480" w:after="480" w:line="312"/>
        <w:ind w:right="0" w:left="397" w:hanging="397"/>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Aineistonkeruumenetelmä, toteutus, käsittely ja analyysi</w:t>
      </w:r>
    </w:p>
    <w:p>
      <w:pPr>
        <w:spacing w:before="240" w:after="24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Aineisto kerätään sähköisellä Webropol-kyselyllä. Kyselylomake sisältää monivalintakysymyksiä, joilla kartoitetaan sairaanhoitajien osaamista akuutin kivun arvioinnissa ja hoidossa kotisairaalaympäristössä. Kyselylomake perustuu Grommi ym. (2022) kehittämään tietotesti Kivun hoitotyöstä</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mittariin, joka on esitetty Grommin (2025, liite 4, s. 114</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115) v</w:t>
      </w:r>
      <w:r>
        <w:rPr>
          <w:rFonts w:ascii="Arial" w:hAnsi="Arial" w:cs="Arial" w:eastAsia="Arial"/>
          <w:color w:val="auto"/>
          <w:spacing w:val="0"/>
          <w:position w:val="0"/>
          <w:sz w:val="24"/>
          <w:shd w:fill="auto" w:val="clear"/>
        </w:rPr>
        <w:t xml:space="preserve">äitöskirjassa. Mittaria on muokattua opinnäytetyön tekijöiden toimesta työn tarkoitukseen sopivaksi siten, että kysymysten 10 ja 11 osalta vastausvaihtoehdot on vaihdettu vapaan tekstikentän tilalle, jotta vastaukset rajautuvat kotisairaalakäyntien tiheyttä mukaillen. Mittarin nimeä on myös muokattu opinnäytetyötä varten Tietotesti Kivun hoitotyöstä (Kotisairaala) © Grommi-Vaajajoki-Vuotilainen-Kankkunen 2026. Mittaria on muokattu mittarin kehittäjien luvalla. Muokkausten jälkeen mittari on lähetetty kaikille alkuperäisille tekijöille katsottavaksi ja muokattavaksi. Sähköinen kysely mahdollistaa aineistonkeruun ajasta ja paikasta riippumatta (Valli 2018, s. 101</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102, 118.)</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Kyselyyn liitetään saatekirje (Liite 1), jossa kerrotaan tutkimuksen tarkoitus, toteutus, aineiston käsittely sekä osallistumisen vapaaehtoisuus. Aineistonkeruu toteutetaan ennalta määriteltynä ajanjaksona. Vastaajilla on mahdollisuus vastata kyselyyn (Liite 6) omassa aikataulussaan aineistonkeruujakson aikana. Tutkimukseen osallistuminen on vapaaehtoista, ja vastaajilla on oikeus keskeyttää osallistumisensa missä vaiheessa tahansa. Mikäli vastauksia tulee vähän yksittäiseltä hyvinvointialueelta, aineisto analysoidaan erva alueittain, anonymiteetin turvaamiseksi.</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Kerätty aineisto käsitellään luottamuksellisesti ja analysoidaan määrällisin menetelmin. Analyysi toteutetaan kuvailevana tilastollisena analyysina, jossa hyödynnetään frekvenssejä ja prosenttijakaumia. Kyselyyn vastaajalta ei kysytä henkilötietoja, eikä sähköiseen kyselyyn vastanneiden henkilöllisyys muullakaan tavoin käy ilmi prosessin aikana. Ainoat kysytyt tunnistetiedot ovat ajallinen työkokemus ja hyvinvointialue, jolla vastaaja työskentelee. Aineiston tulokset esitellään hyvinvointialueittain. Yksittäistä vastaajaa ei siis voida tunnistaa vastauksista. Analyysissa voidaan hyödyntää Webropolin omia analyysityökaluja tai erillistä tilastollista ohjelmistoa.</w:t>
      </w:r>
    </w:p>
    <w:p>
      <w:pPr>
        <w:keepNext w:val="true"/>
        <w:keepLines w:val="true"/>
        <w:numPr>
          <w:ilvl w:val="0"/>
          <w:numId w:val="41"/>
        </w:numPr>
        <w:suppressAutoHyphens w:val="true"/>
        <w:spacing w:before="480" w:after="480" w:line="312"/>
        <w:ind w:right="0" w:left="397" w:hanging="397"/>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Aineiston hallinta ja tietosuoja</w:t>
      </w:r>
    </w:p>
    <w:p>
      <w:pPr>
        <w:spacing w:before="0" w:after="16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Tutkimusaineisto käsitellään EU:n yleisen tietosuoja-asetuksen (GDPR 2016/679) mukaisesti. Aineisto anonymisoidaan siten, ettei yksittäisiä vastaajia voida tunnistaa missään tutkimuksen vaiheessa. Aineisto säilytetään opinnäytetyön teon ajan tekijöiden yhteisessä teams-kanavassa, joka on pilvipohjainen tallennustila. Anonymisoitu aineisto säilytetään salatussa muodossa toimeksiantajaorganisaation hankkeen toiminnan ajan, vuoden 2030 loppuun asti. Aineiston jatkokäytön osalta pyydetään ennakkoarviointia Turun ammattikorkeakoulun tutkimuseettiseltä neuvostolta.</w:t>
      </w:r>
    </w:p>
    <w:p>
      <w:pPr>
        <w:keepNext w:val="true"/>
        <w:keepLines w:val="true"/>
        <w:pageBreakBefore w:val="true"/>
        <w:numPr>
          <w:ilvl w:val="0"/>
          <w:numId w:val="43"/>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 Eettisyys ja luotettavuus</w:t>
      </w:r>
    </w:p>
    <w:p>
      <w:pPr>
        <w:spacing w:before="0" w:after="160" w:line="276"/>
        <w:ind w:right="0" w:left="0" w:firstLine="0"/>
        <w:jc w:val="both"/>
        <w:rPr>
          <w:rFonts w:ascii="Arial" w:hAnsi="Arial" w:cs="Arial" w:eastAsia="Arial"/>
          <w:color w:val="auto"/>
          <w:spacing w:val="0"/>
          <w:position w:val="0"/>
          <w:sz w:val="24"/>
          <w:shd w:fill="C0C0C0" w:val="clear"/>
        </w:rPr>
      </w:pPr>
      <w:r>
        <w:rPr>
          <w:rFonts w:ascii="Arial" w:hAnsi="Arial" w:cs="Arial" w:eastAsia="Arial"/>
          <w:color w:val="auto"/>
          <w:spacing w:val="0"/>
          <w:position w:val="0"/>
          <w:sz w:val="24"/>
          <w:shd w:fill="auto" w:val="clear"/>
        </w:rPr>
        <w:t xml:space="preserve">Opinnäytetyö toteutetaan Tutkimuseettisen neuvottelukunnan (2023, s. 11) hyvän tieteellisen käytännön mukaisesti. Tutkimuksessa noudatetaan rehellisyyttä, tarkkuutta ja huolellisuutta kaikissa vaiheissa. Tutkimukselle haetaan tutkimuslupa toimeksiantajaorganisaatiolta ennen aineistonkeruuta. Tutkimus ei sisällä ihmistieteiden eettisen ennakkoarvioinnin piiriin kuuluvia asetelmia, kuten tietoon perustuvasta suostumuksesta poikkeamista, tutkittavien fyysiseen koskemattomuuteen puuttumista, alaikäisiin ilman huoltajan lupaa kohdistuvaa tutkimusta, poikkeuksellisen voimakkaille ärsykkeille altistamista, tavanomaista arkielämää merkittävästi ylittävän henkisen haitan riskiä tai tutkimukseen liittyviä turvallisuusuhkia, joten se ei vaadi eettisen toimikunnan lausuntoa (Tutkimuseettinen neuvottelukunta, 2019, s. 16). </w:t>
      </w:r>
    </w:p>
    <w:p>
      <w:pPr>
        <w:spacing w:before="0" w:after="16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Osallistuminen kyselytutkimukseen on osallistujille vapaaehtoista, ja he saavat kyselyn yhteydessä tutkimustiedotteen sekä suostumuslomakkeen, joissa kerrotaan tutkimuksen tarkoitus, aineiston käsittelysuunnitelma ja osallistumisen ehdot. Kyselyyn vastaaminen tulkitaan informoiduksi suostumukseksi. Tutkimukseen osallistuvilla on oikeus keskeyttää osallistumisensa missä vaiheessa tahansa ilman perusteluita tai seurauksia (Tutkimuseettinen neuvottelukunta, 2019, s. 8.)</w:t>
      </w:r>
    </w:p>
    <w:p>
      <w:pPr>
        <w:spacing w:before="0" w:after="16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Tutkimusaineisto käsitellään ja säilytetään EU:n yleisen tietosuoja-asetuksen (GDPR 2016/679) mukaisesti. Aineisto anonymisoidaan niin, ettei yksittäisiä vastaajia voida tunnistaa. Anonymisoitu data säilytetään vuoden 2030 loppuun asti, minkä jälkeen se hävitetään tietoturvallisesti (GDPR 2016/679; Tutkimuseettinen neuvottelukunta, 2019, s. 11</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12).</w:t>
      </w:r>
    </w:p>
    <w:p>
      <w:pPr>
        <w:spacing w:before="0" w:after="16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Opinnäytetyön luotettavuutta arvioidaan koko tutkimusprosessin ajan. Kyselylomakkeen sisältö perustuu aiempaan tutkimustietoon ja asiantuntijalähteisiin, mikä tukee sisällöllistä validiteettia. Aineistonkeruun ja analyysin vaiheet dokumentoidaan tarkasti, mikä parantaa työn läpinäkyvyyttä ja toistettavuutta. Tulosten raportoinnissa pyritään selkeyteen ja tarkkuuteen, eikä yksittäisiä vastaajia voida tunnistaa.</w:t>
      </w:r>
    </w:p>
    <w:p>
      <w:pPr>
        <w:spacing w:before="0" w:after="160" w:line="276"/>
        <w:ind w:right="0" w:left="0" w:firstLine="0"/>
        <w:jc w:val="both"/>
        <w:rPr>
          <w:rFonts w:ascii="Arial" w:hAnsi="Arial" w:cs="Arial" w:eastAsia="Arial"/>
          <w:color w:val="FF0000"/>
          <w:spacing w:val="0"/>
          <w:position w:val="0"/>
          <w:sz w:val="24"/>
          <w:shd w:fill="auto" w:val="clear"/>
        </w:rPr>
      </w:pPr>
      <w:r>
        <w:rPr>
          <w:rFonts w:ascii="Arial" w:hAnsi="Arial" w:cs="Arial" w:eastAsia="Arial"/>
          <w:color w:val="auto"/>
          <w:spacing w:val="0"/>
          <w:position w:val="0"/>
          <w:sz w:val="24"/>
          <w:shd w:fill="auto" w:val="clear"/>
        </w:rPr>
        <w:t xml:space="preserve">Opinnäytetyön tekijät ottavat huomioon oman kokemattomuutensa tutkimuksen tekemisessä, arvioivat koko prosessin ajan omia ennakkoasenteitaan, jotta ne eivät vaikuttaisi aineiston tulkintaan ja raportointiin.</w:t>
      </w:r>
    </w:p>
    <w:p>
      <w:pPr>
        <w:keepNext w:val="true"/>
        <w:keepLines w:val="true"/>
        <w:pageBreakBefore w:val="true"/>
        <w:numPr>
          <w:ilvl w:val="0"/>
          <w:numId w:val="45"/>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Aikataulu, viestintä ja tehtävänjako</w:t>
      </w:r>
    </w:p>
    <w:p>
      <w:pPr>
        <w:spacing w:before="240" w:after="24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Opinnäytetyö toteutetaan vuoden 2026 aikana. Työ etenee vaiheittain siten, että syksyllä painottuvat aiheen rajaus, teoreettinen tausta ja menetelmien suunnittelu, ja keväällä aineistonkeruu, analyysi, tulosten raportointi ja työn viimeistely. Aikataulua seurataan säännöllisesti, ja sitä tarkennetaan tarvittaessa opinnäytetyöprosessin edetessä.</w:t>
      </w:r>
    </w:p>
    <w:p>
      <w:pPr>
        <w:spacing w:before="240" w:after="24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Opinnäytetyö toteutetaan parityönä, ja työnjakoa ohjaavat suunnitelmallisuus, tasapuolisuus ja molempien tekijöiden osaamisen hyödyntäminen. Parityöskentelyn vahvuuksia, heikkouksia, mahdollisuuksia ja uhkia on tarkasteltu SWOT-analyysin avulla (Liite 3). SWOT-analyysin perusteella parityöskentely tukee työn etenemistä erityisesti vastuun jakamisen, vertaispalautteen ja jaksamisen näkökulmista, mutta edellyttää selkeää työnjakoa ja säännöllistä viestintää mahdollisten aikataulu- ja näkemyserojen hallitsemiseksi.</w:t>
      </w:r>
    </w:p>
    <w:p>
      <w:pPr>
        <w:spacing w:before="240" w:after="24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Opinnäytetyön konkreettinen työnjako on kuvattu taulukkomuodossa (Liite 4). Molemmat tekijät osallistuvat aktiivisesti opinnäytetyön kaikkiin vaiheisiin, mutta vastuut on jaettu siten, että tietyillä osa-alueilla toinen tekijä toimii päävastuullisena. Työnjakoa tarkastellaan ja päivitetään tarvittaessa opinnäytetyöprosessin aikana.</w:t>
      </w:r>
    </w:p>
    <w:p>
      <w:pPr>
        <w:spacing w:before="240" w:after="24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Viestintä opinnäytetyön ohjaajan kanssa toteutetaan säännöllisesti sähköpostitse ja etäyhteyksin. Toimeksiantajan kanssa viestintä tapahtuu sovitusti työn eri vaiheissa, erityisesti menetelmien, aineistonkeruun ja tulosten hyödyntämisen osalta. Työparin keskinäinen viestintä on säännöllistä ja tapahtuu viikoittain sovittujen kanavien kautta. Viestintäkäytännöt, kohderyhmät, vastuut ja ajankohdat on kuvattu tarkemmin viestintäsuunnitelmassa (Liite 5).</w:t>
      </w:r>
    </w:p>
    <w:p>
      <w:pPr>
        <w:spacing w:before="240" w:after="240" w:line="278"/>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Suunnitelmallinen aikataulutus, selkeä työnjako ja säännöllinen viestintä tukevat opinnäytetyön etenemistä, työn laatua ja yhteistyön sujuvuutta koko prosessin ajan.</w:t>
      </w:r>
    </w:p>
    <w:p>
      <w:pPr>
        <w:spacing w:before="0" w:after="160" w:line="276"/>
        <w:ind w:right="0" w:left="0" w:firstLine="0"/>
        <w:jc w:val="both"/>
        <w:rPr>
          <w:rFonts w:ascii="Arial" w:hAnsi="Arial" w:cs="Arial" w:eastAsia="Arial"/>
          <w:color w:val="auto"/>
          <w:spacing w:val="0"/>
          <w:position w:val="0"/>
          <w:sz w:val="24"/>
          <w:shd w:fill="auto" w:val="clear"/>
        </w:rPr>
      </w:pPr>
    </w:p>
    <w:p>
      <w:pPr>
        <w:spacing w:before="0" w:after="160" w:line="276"/>
        <w:ind w:right="0" w:left="0" w:firstLine="0"/>
        <w:jc w:val="both"/>
        <w:rPr>
          <w:rFonts w:ascii="Arial" w:hAnsi="Arial" w:cs="Arial" w:eastAsia="Arial"/>
          <w:color w:val="auto"/>
          <w:spacing w:val="0"/>
          <w:position w:val="0"/>
          <w:sz w:val="24"/>
          <w:shd w:fill="auto" w:val="clear"/>
        </w:rPr>
      </w:pPr>
    </w:p>
    <w:p>
      <w:pPr>
        <w:keepNext w:val="true"/>
        <w:keepLines w:val="true"/>
        <w:pageBreakBefore w:val="true"/>
        <w:numPr>
          <w:ilvl w:val="0"/>
          <w:numId w:val="48"/>
        </w:numPr>
        <w:suppressAutoHyphens w:val="true"/>
        <w:spacing w:before="0" w:after="480" w:line="312"/>
        <w:ind w:right="0" w:left="255" w:hanging="255"/>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Lähteet</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Crouch, M. (2025). Pain management in wound care: Taking a holistic approach. </w:t>
      </w:r>
      <w:r>
        <w:rPr>
          <w:rFonts w:ascii="Arial" w:hAnsi="Arial" w:cs="Arial" w:eastAsia="Arial"/>
          <w:i/>
          <w:color w:val="auto"/>
          <w:spacing w:val="0"/>
          <w:position w:val="0"/>
          <w:sz w:val="24"/>
          <w:shd w:fill="auto" w:val="clear"/>
        </w:rPr>
        <w:t xml:space="preserve">British Journal of Nursing, 16</w:t>
      </w:r>
      <w:r>
        <w:rPr>
          <w:rFonts w:ascii="Arial" w:hAnsi="Arial" w:cs="Arial" w:eastAsia="Arial"/>
          <w:color w:val="auto"/>
          <w:spacing w:val="0"/>
          <w:position w:val="0"/>
          <w:sz w:val="24"/>
          <w:shd w:fill="auto" w:val="clear"/>
        </w:rPr>
        <w:t xml:space="preserve">(20), 12</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17. </w:t>
      </w:r>
      <w:hyperlink xmlns:r="http://schemas.openxmlformats.org/officeDocument/2006/relationships" r:id="docRId2">
        <w:r>
          <w:rPr>
            <w:rFonts w:ascii="Arial" w:hAnsi="Arial" w:cs="Arial" w:eastAsia="Arial"/>
            <w:color w:val="0000FF"/>
            <w:spacing w:val="0"/>
            <w:position w:val="0"/>
            <w:sz w:val="24"/>
            <w:u w:val="single"/>
            <w:shd w:fill="auto" w:val="clear"/>
          </w:rPr>
          <w:t xml:space="preserve">https://doi.org/10.12968/bjon.2024.0407</w:t>
        </w:r>
      </w:hyperlink>
    </w:p>
    <w:p>
      <w:pPr>
        <w:spacing w:before="0" w:after="160" w:line="312"/>
        <w:ind w:right="0" w:left="0" w:firstLine="0"/>
        <w:jc w:val="both"/>
        <w:rPr>
          <w:rFonts w:ascii="Arial" w:hAnsi="Arial" w:cs="Arial" w:eastAsia="Arial"/>
          <w:i/>
          <w:color w:val="auto"/>
          <w:spacing w:val="0"/>
          <w:position w:val="0"/>
          <w:sz w:val="24"/>
          <w:shd w:fill="auto" w:val="clear"/>
        </w:rPr>
      </w:pPr>
      <w:r>
        <w:rPr>
          <w:rFonts w:ascii="Arial" w:hAnsi="Arial" w:cs="Arial" w:eastAsia="Arial"/>
          <w:color w:val="auto"/>
          <w:spacing w:val="0"/>
          <w:position w:val="0"/>
          <w:sz w:val="24"/>
          <w:shd w:fill="auto" w:val="clear"/>
        </w:rPr>
        <w:t xml:space="preserve">Efraim Kolobe, L. &amp; Roets, L. (2025) </w:t>
      </w:r>
      <w:r>
        <w:rPr>
          <w:rFonts w:ascii="Arial" w:hAnsi="Arial" w:cs="Arial" w:eastAsia="Arial"/>
          <w:i/>
          <w:color w:val="auto"/>
          <w:spacing w:val="0"/>
          <w:position w:val="0"/>
          <w:sz w:val="24"/>
          <w:shd w:fill="auto" w:val="clear"/>
        </w:rPr>
        <w:t xml:space="preserve">An Action Plan to Facilitate the Transfer of Pain Managment Competencies Among Nurses. Nursing Reports, 15(12), 1-25. </w:t>
      </w:r>
      <w:hyperlink xmlns:r="http://schemas.openxmlformats.org/officeDocument/2006/relationships" r:id="docRId3">
        <w:r>
          <w:rPr>
            <w:rFonts w:ascii="Arial" w:hAnsi="Arial" w:cs="Arial" w:eastAsia="Arial"/>
            <w:color w:val="0000FF"/>
            <w:spacing w:val="0"/>
            <w:position w:val="0"/>
            <w:sz w:val="24"/>
            <w:u w:val="single"/>
            <w:shd w:fill="auto" w:val="clear"/>
          </w:rPr>
          <w:t xml:space="preserve">https://doi.org/10.3390/nursrep15120442</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European Parliament and Council of the European Union. (2016). </w:t>
      </w:r>
      <w:r>
        <w:rPr>
          <w:rFonts w:ascii="Arial" w:hAnsi="Arial" w:cs="Arial" w:eastAsia="Arial"/>
          <w:i/>
          <w:color w:val="auto"/>
          <w:spacing w:val="0"/>
          <w:position w:val="0"/>
          <w:sz w:val="24"/>
          <w:shd w:fill="auto" w:val="clear"/>
        </w:rPr>
        <w:t xml:space="preserve">Regulation (EU) 2016/679 of the European Parliament and of the Council of 27 April 2016 on the protection of natural persons with regard to the processing of personal data and on the free movement of such data (General Data Protection Regulation).</w:t>
      </w:r>
      <w:r>
        <w:rPr>
          <w:rFonts w:ascii="Arial" w:hAnsi="Arial" w:cs="Arial" w:eastAsia="Arial"/>
          <w:color w:val="auto"/>
          <w:spacing w:val="0"/>
          <w:position w:val="0"/>
          <w:sz w:val="24"/>
          <w:shd w:fill="auto" w:val="clear"/>
        </w:rPr>
        <w:t xml:space="preserve"> </w:t>
      </w:r>
      <w:hyperlink xmlns:r="http://schemas.openxmlformats.org/officeDocument/2006/relationships" r:id="docRId4">
        <w:r>
          <w:rPr>
            <w:rFonts w:ascii="Arial" w:hAnsi="Arial" w:cs="Arial" w:eastAsia="Arial"/>
            <w:color w:val="0000FF"/>
            <w:spacing w:val="0"/>
            <w:position w:val="0"/>
            <w:sz w:val="24"/>
            <w:u w:val="single"/>
            <w:shd w:fill="auto" w:val="clear"/>
          </w:rPr>
          <w:t xml:space="preserve">https://eur-lex.europa.eu/legal-content/FI/TXT/PDF/?uri=CELEX:32016R0679</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Gopalan, R., Pande, H., Narayanan, S., &amp; Chinnaswami, A. (2025). Virtual reality as a nonpharmacological tool for acute pain management: A scoping review. </w:t>
      </w:r>
      <w:r>
        <w:rPr>
          <w:rFonts w:ascii="Arial" w:hAnsi="Arial" w:cs="Arial" w:eastAsia="Arial"/>
          <w:i/>
          <w:color w:val="auto"/>
          <w:spacing w:val="0"/>
          <w:position w:val="0"/>
          <w:sz w:val="24"/>
          <w:shd w:fill="auto" w:val="clear"/>
        </w:rPr>
        <w:t xml:space="preserve">Innovations in Clinical Neuroscience, 22</w:t>
      </w:r>
      <w:r>
        <w:rPr>
          <w:rFonts w:ascii="Arial" w:hAnsi="Arial" w:cs="Arial" w:eastAsia="Arial"/>
          <w:color w:val="auto"/>
          <w:spacing w:val="0"/>
          <w:position w:val="0"/>
          <w:sz w:val="24"/>
          <w:shd w:fill="auto" w:val="clear"/>
        </w:rPr>
        <w:t xml:space="preserve">(1), 28</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50.</w:t>
      </w:r>
    </w:p>
    <w:p>
      <w:pPr>
        <w:spacing w:before="240" w:after="240" w:line="278"/>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Grommi, S. (2025). </w:t>
      </w:r>
      <w:r>
        <w:rPr>
          <w:rFonts w:ascii="Arial" w:hAnsi="Arial" w:cs="Arial" w:eastAsia="Arial"/>
          <w:i/>
          <w:color w:val="auto"/>
          <w:spacing w:val="0"/>
          <w:position w:val="0"/>
          <w:sz w:val="24"/>
          <w:shd w:fill="auto" w:val="clear"/>
        </w:rPr>
        <w:t xml:space="preserve">The effects of educational and feedback interventions on pain nursing care</w:t>
      </w:r>
      <w:r>
        <w:rPr>
          <w:rFonts w:ascii="Arial" w:hAnsi="Arial" w:cs="Arial" w:eastAsia="Arial"/>
          <w:color w:val="auto"/>
          <w:spacing w:val="0"/>
          <w:position w:val="0"/>
          <w:sz w:val="24"/>
          <w:shd w:fill="auto" w:val="clear"/>
        </w:rPr>
        <w:t xml:space="preserve"> [Väitöskirja, Itä-Suomen yliopisto]. </w:t>
      </w:r>
      <w:hyperlink xmlns:r="http://schemas.openxmlformats.org/officeDocument/2006/relationships" r:id="docRId5">
        <w:r>
          <w:rPr>
            <w:rFonts w:ascii="Arial" w:hAnsi="Arial" w:cs="Arial" w:eastAsia="Arial"/>
            <w:color w:val="0000FF"/>
            <w:spacing w:val="0"/>
            <w:position w:val="0"/>
            <w:sz w:val="24"/>
            <w:u w:val="single"/>
            <w:shd w:fill="auto" w:val="clear"/>
          </w:rPr>
          <w:t xml:space="preserve">https://erepo.uef.fi/server/api/core/bitstreams/4be346d7-b0bf-4965-9cd1-481733d0e94c/content</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Gökce Isikli, A., Yildizeli Topcu, S., Önut, F., &amp; Tuncel Saglam, F. (2024). Determining pain coping behaviors of patients with acute and chronic pain: A cross-sectional descriptive study. </w:t>
      </w:r>
      <w:r>
        <w:rPr>
          <w:rFonts w:ascii="Arial" w:hAnsi="Arial" w:cs="Arial" w:eastAsia="Arial"/>
          <w:i/>
          <w:color w:val="auto"/>
          <w:spacing w:val="0"/>
          <w:position w:val="0"/>
          <w:sz w:val="24"/>
          <w:shd w:fill="auto" w:val="clear"/>
        </w:rPr>
        <w:t xml:space="preserve">Turkiye Klinikleri Journal of Nursing Sciences, 16</w:t>
      </w:r>
      <w:r>
        <w:rPr>
          <w:rFonts w:ascii="Arial" w:hAnsi="Arial" w:cs="Arial" w:eastAsia="Arial"/>
          <w:color w:val="auto"/>
          <w:spacing w:val="0"/>
          <w:position w:val="0"/>
          <w:sz w:val="24"/>
          <w:shd w:fill="auto" w:val="clear"/>
        </w:rPr>
        <w:t xml:space="preserve">, 299</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308.</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Halkola, H., Kaakinen, P., Heino-Tolonen, T., Miettinen, S., Siivonen, T., &amp; Käärinen, M. (2018). </w:t>
      </w:r>
      <w:r>
        <w:rPr>
          <w:rFonts w:ascii="Arial" w:hAnsi="Arial" w:cs="Arial" w:eastAsia="Arial"/>
          <w:i/>
          <w:color w:val="auto"/>
          <w:spacing w:val="0"/>
          <w:position w:val="0"/>
          <w:sz w:val="24"/>
          <w:shd w:fill="auto" w:val="clear"/>
        </w:rPr>
        <w:t xml:space="preserve">Sairaanhoitajien kokemukset lasten kotisairaalassa tarvittavasta osaamisesta.</w:t>
      </w:r>
      <w:r>
        <w:rPr>
          <w:rFonts w:ascii="Arial" w:hAnsi="Arial" w:cs="Arial" w:eastAsia="Arial"/>
          <w:color w:val="auto"/>
          <w:spacing w:val="0"/>
          <w:position w:val="0"/>
          <w:sz w:val="24"/>
          <w:shd w:fill="auto" w:val="clear"/>
        </w:rPr>
        <w:t xml:space="preserve"> </w:t>
      </w:r>
      <w:r>
        <w:rPr>
          <w:rFonts w:ascii="Arial" w:hAnsi="Arial" w:cs="Arial" w:eastAsia="Arial"/>
          <w:i/>
          <w:color w:val="auto"/>
          <w:spacing w:val="0"/>
          <w:position w:val="0"/>
          <w:sz w:val="24"/>
          <w:shd w:fill="auto" w:val="clear"/>
        </w:rPr>
        <w:t xml:space="preserve">Hoitotiede, 30</w:t>
      </w:r>
      <w:r>
        <w:rPr>
          <w:rFonts w:ascii="Arial" w:hAnsi="Arial" w:cs="Arial" w:eastAsia="Arial"/>
          <w:color w:val="auto"/>
          <w:spacing w:val="0"/>
          <w:position w:val="0"/>
          <w:sz w:val="24"/>
          <w:shd w:fill="auto" w:val="clear"/>
        </w:rPr>
        <w:t xml:space="preserve">, 41</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52.</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Heiskanen, T., Hamunen, K. &amp; Hirvonen Outi. (2013). </w:t>
      </w:r>
      <w:r>
        <w:rPr>
          <w:rFonts w:ascii="Arial" w:hAnsi="Arial" w:cs="Arial" w:eastAsia="Arial"/>
          <w:i/>
          <w:color w:val="auto"/>
          <w:spacing w:val="0"/>
          <w:position w:val="0"/>
          <w:sz w:val="24"/>
          <w:shd w:fill="auto" w:val="clear"/>
        </w:rPr>
        <w:t xml:space="preserve">Kipu palliatiivisessa hoidossa. Duodecim, 129(4), 385</w:t>
      </w:r>
      <w:r>
        <w:rPr>
          <w:rFonts w:ascii="Arial" w:hAnsi="Arial" w:cs="Arial" w:eastAsia="Arial"/>
          <w:i/>
          <w:color w:val="auto"/>
          <w:spacing w:val="0"/>
          <w:position w:val="0"/>
          <w:sz w:val="24"/>
          <w:shd w:fill="auto" w:val="clear"/>
        </w:rPr>
        <w:t xml:space="preserve">–</w:t>
      </w:r>
      <w:r>
        <w:rPr>
          <w:rFonts w:ascii="Arial" w:hAnsi="Arial" w:cs="Arial" w:eastAsia="Arial"/>
          <w:i/>
          <w:color w:val="auto"/>
          <w:spacing w:val="0"/>
          <w:position w:val="0"/>
          <w:sz w:val="24"/>
          <w:shd w:fill="auto" w:val="clear"/>
        </w:rPr>
        <w:t xml:space="preserve">392. </w:t>
      </w:r>
      <w:hyperlink xmlns:r="http://schemas.openxmlformats.org/officeDocument/2006/relationships" r:id="docRId6">
        <w:r>
          <w:rPr>
            <w:rFonts w:ascii="Arial" w:hAnsi="Arial" w:cs="Arial" w:eastAsia="Arial"/>
            <w:color w:val="0000FF"/>
            <w:spacing w:val="0"/>
            <w:position w:val="0"/>
            <w:sz w:val="24"/>
            <w:u w:val="single"/>
            <w:shd w:fill="auto" w:val="clear"/>
          </w:rPr>
          <w:t xml:space="preserve">Kipu palliatiivisessa hoidossa</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Härkönen, H., Wikberg, E., Rissanen, A., Laukkonen, K., Hökkä, M., Hyvämäki, P., Leskelä, R.-K., Pesonen, H., &amp; Jansson, M. (2024). </w:t>
      </w:r>
      <w:r>
        <w:rPr>
          <w:rFonts w:ascii="Arial" w:hAnsi="Arial" w:cs="Arial" w:eastAsia="Arial"/>
          <w:i/>
          <w:color w:val="auto"/>
          <w:spacing w:val="0"/>
          <w:position w:val="0"/>
          <w:sz w:val="24"/>
          <w:shd w:fill="auto" w:val="clear"/>
        </w:rPr>
        <w:t xml:space="preserve">Kotisairaalatoiminnan nykytila, vaikuttavuus ja mittaaminen</w:t>
      </w:r>
      <w:r>
        <w:rPr>
          <w:rFonts w:ascii="Arial" w:hAnsi="Arial" w:cs="Arial" w:eastAsia="Arial"/>
          <w:color w:val="auto"/>
          <w:spacing w:val="0"/>
          <w:position w:val="0"/>
          <w:sz w:val="24"/>
          <w:shd w:fill="auto" w:val="clear"/>
        </w:rPr>
        <w:t xml:space="preserve"> (Valtioneuvoston selvitys- ja tutkimustoiminnan julkaisusarja 38). Valtioneuvosto. </w:t>
      </w:r>
      <w:hyperlink xmlns:r="http://schemas.openxmlformats.org/officeDocument/2006/relationships" r:id="docRId7">
        <w:r>
          <w:rPr>
            <w:rFonts w:ascii="Arial" w:hAnsi="Arial" w:cs="Arial" w:eastAsia="Arial"/>
            <w:color w:val="0000FF"/>
            <w:spacing w:val="0"/>
            <w:position w:val="0"/>
            <w:sz w:val="24"/>
            <w:u w:val="single"/>
            <w:shd w:fill="auto" w:val="clear"/>
          </w:rPr>
          <w:t xml:space="preserve">https://julkaisut.valtioneuvosto.fi/bitstream/handle/10024/165916/VNTEAS_2024_38.pdf</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International Association for the Study of Pain. (2025). </w:t>
      </w:r>
      <w:r>
        <w:rPr>
          <w:rFonts w:ascii="Arial" w:hAnsi="Arial" w:cs="Arial" w:eastAsia="Arial"/>
          <w:i/>
          <w:color w:val="auto"/>
          <w:spacing w:val="0"/>
          <w:position w:val="0"/>
          <w:sz w:val="24"/>
          <w:shd w:fill="auto" w:val="clear"/>
        </w:rPr>
        <w:t xml:space="preserve">IASP terminology</w:t>
      </w:r>
      <w:r>
        <w:rPr>
          <w:rFonts w:ascii="Arial" w:hAnsi="Arial" w:cs="Arial" w:eastAsia="Arial"/>
          <w:color w:val="auto"/>
          <w:spacing w:val="0"/>
          <w:position w:val="0"/>
          <w:sz w:val="24"/>
          <w:shd w:fill="auto" w:val="clear"/>
        </w:rPr>
        <w:t xml:space="preserve">. </w:t>
      </w:r>
      <w:hyperlink xmlns:r="http://schemas.openxmlformats.org/officeDocument/2006/relationships" r:id="docRId8">
        <w:r>
          <w:rPr>
            <w:rFonts w:ascii="Arial" w:hAnsi="Arial" w:cs="Arial" w:eastAsia="Arial"/>
            <w:color w:val="0000FF"/>
            <w:spacing w:val="0"/>
            <w:position w:val="0"/>
            <w:sz w:val="24"/>
            <w:u w:val="single"/>
            <w:shd w:fill="auto" w:val="clear"/>
          </w:rPr>
          <w:t xml:space="preserve">https://www.iasp-pain.org</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Jokiniemi, K., Pietilä, A-M. &amp; Mikkonen, S. (2022) Suolaisten kliinisen hoitotyön asiantuntijoiden osaaminen: Arviointi validoidulla ydinosaamismittarilla. Hoitotiede, 34, 27-38. </w:t>
      </w:r>
      <w:hyperlink xmlns:r="http://schemas.openxmlformats.org/officeDocument/2006/relationships" r:id="docRId9">
        <w:r>
          <w:rPr>
            <w:rFonts w:ascii="Arial" w:hAnsi="Arial" w:cs="Arial" w:eastAsia="Arial"/>
            <w:color w:val="0000FF"/>
            <w:spacing w:val="0"/>
            <w:position w:val="0"/>
            <w:sz w:val="24"/>
            <w:u w:val="single"/>
            <w:shd w:fill="auto" w:val="clear"/>
          </w:rPr>
          <w:t xml:space="preserve">https://journal.fi/hoitotiede/article/view/136420/84669?acceptCookies=1</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Kalso, E., Haanpää, M., &amp; Vainio, A. (2009). </w:t>
      </w:r>
      <w:r>
        <w:rPr>
          <w:rFonts w:ascii="Arial" w:hAnsi="Arial" w:cs="Arial" w:eastAsia="Arial"/>
          <w:i/>
          <w:color w:val="auto"/>
          <w:spacing w:val="0"/>
          <w:position w:val="0"/>
          <w:sz w:val="24"/>
          <w:shd w:fill="auto" w:val="clear"/>
        </w:rPr>
        <w:t xml:space="preserve">Kipu</w:t>
      </w:r>
      <w:r>
        <w:rPr>
          <w:rFonts w:ascii="Arial" w:hAnsi="Arial" w:cs="Arial" w:eastAsia="Arial"/>
          <w:color w:val="auto"/>
          <w:spacing w:val="0"/>
          <w:position w:val="0"/>
          <w:sz w:val="24"/>
          <w:shd w:fill="auto" w:val="clear"/>
        </w:rPr>
        <w:t xml:space="preserve">. Duodecim.</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Kankkunen, P., &amp; Vehviläinen-Julkunen, K. (2013). </w:t>
      </w:r>
      <w:r>
        <w:rPr>
          <w:rFonts w:ascii="Arial" w:hAnsi="Arial" w:cs="Arial" w:eastAsia="Arial"/>
          <w:i/>
          <w:color w:val="auto"/>
          <w:spacing w:val="0"/>
          <w:position w:val="0"/>
          <w:sz w:val="24"/>
          <w:shd w:fill="auto" w:val="clear"/>
        </w:rPr>
        <w:t xml:space="preserve">Tutkimus hoitotieteessä</w:t>
      </w:r>
      <w:r>
        <w:rPr>
          <w:rFonts w:ascii="Arial" w:hAnsi="Arial" w:cs="Arial" w:eastAsia="Arial"/>
          <w:color w:val="auto"/>
          <w:spacing w:val="0"/>
          <w:position w:val="0"/>
          <w:sz w:val="24"/>
          <w:shd w:fill="auto" w:val="clear"/>
        </w:rPr>
        <w:t xml:space="preserve">. Sanoma Pro.</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Kiljunen, K., Ritmala-Castrén, M., Lundgren-Laine, H., &amp; Leino-Kilpi, H. (2016). Night-time sleep and pain as assessed by intensive care patients. </w:t>
      </w:r>
      <w:r>
        <w:rPr>
          <w:rFonts w:ascii="Arial" w:hAnsi="Arial" w:cs="Arial" w:eastAsia="Arial"/>
          <w:i/>
          <w:color w:val="auto"/>
          <w:spacing w:val="0"/>
          <w:position w:val="0"/>
          <w:sz w:val="24"/>
          <w:shd w:fill="auto" w:val="clear"/>
        </w:rPr>
        <w:t xml:space="preserve">Hoitotiede, 28</w:t>
      </w:r>
      <w:r>
        <w:rPr>
          <w:rFonts w:ascii="Arial" w:hAnsi="Arial" w:cs="Arial" w:eastAsia="Arial"/>
          <w:color w:val="auto"/>
          <w:spacing w:val="0"/>
          <w:position w:val="0"/>
          <w:sz w:val="24"/>
          <w:shd w:fill="auto" w:val="clear"/>
        </w:rPr>
        <w:t xml:space="preserve">, 171</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181.</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Kipu. (2026). </w:t>
      </w:r>
      <w:r>
        <w:rPr>
          <w:rFonts w:ascii="Arial" w:hAnsi="Arial" w:cs="Arial" w:eastAsia="Arial"/>
          <w:i/>
          <w:color w:val="auto"/>
          <w:spacing w:val="0"/>
          <w:position w:val="0"/>
          <w:sz w:val="24"/>
          <w:shd w:fill="auto" w:val="clear"/>
        </w:rPr>
        <w:t xml:space="preserve">Käypä hoito -suositus</w:t>
      </w:r>
      <w:r>
        <w:rPr>
          <w:rFonts w:ascii="Arial" w:hAnsi="Arial" w:cs="Arial" w:eastAsia="Arial"/>
          <w:color w:val="auto"/>
          <w:spacing w:val="0"/>
          <w:position w:val="0"/>
          <w:sz w:val="24"/>
          <w:shd w:fill="auto" w:val="clear"/>
        </w:rPr>
        <w:t xml:space="preserve">. Suomalainen Lääkäriseura Duodecim. </w:t>
      </w:r>
      <w:hyperlink xmlns:r="http://schemas.openxmlformats.org/officeDocument/2006/relationships" r:id="docRId10">
        <w:r>
          <w:rPr>
            <w:rFonts w:ascii="Arial" w:hAnsi="Arial" w:cs="Arial" w:eastAsia="Arial"/>
            <w:color w:val="0000FF"/>
            <w:spacing w:val="0"/>
            <w:position w:val="0"/>
            <w:sz w:val="24"/>
            <w:u w:val="single"/>
            <w:shd w:fill="auto" w:val="clear"/>
          </w:rPr>
          <w:t xml:space="preserve">https://www.kaypahoito.fi/hoi50103</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Liimatainen, N., &amp; Liisanantti, J. (2018). Syöpäkivun hoitoa kehittämällä voidaan vähentää päivystyskäyntejä. </w:t>
      </w:r>
      <w:r>
        <w:rPr>
          <w:rFonts w:ascii="Arial" w:hAnsi="Arial" w:cs="Arial" w:eastAsia="Arial"/>
          <w:i/>
          <w:color w:val="auto"/>
          <w:spacing w:val="0"/>
          <w:position w:val="0"/>
          <w:sz w:val="24"/>
          <w:shd w:fill="auto" w:val="clear"/>
        </w:rPr>
        <w:t xml:space="preserve">Lääkärilehti, 73</w:t>
      </w:r>
      <w:r>
        <w:rPr>
          <w:rFonts w:ascii="Arial" w:hAnsi="Arial" w:cs="Arial" w:eastAsia="Arial"/>
          <w:color w:val="auto"/>
          <w:spacing w:val="0"/>
          <w:position w:val="0"/>
          <w:sz w:val="24"/>
          <w:shd w:fill="auto" w:val="clear"/>
        </w:rPr>
        <w:t xml:space="preserve">, 1428</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1434.</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Lämsä, R., Niemi, M., &amp; Seppänen, M. (2021). </w:t>
      </w:r>
      <w:r>
        <w:rPr>
          <w:rFonts w:ascii="Arial" w:hAnsi="Arial" w:cs="Arial" w:eastAsia="Arial"/>
          <w:i/>
          <w:color w:val="auto"/>
          <w:spacing w:val="0"/>
          <w:position w:val="0"/>
          <w:sz w:val="24"/>
          <w:shd w:fill="auto" w:val="clear"/>
        </w:rPr>
        <w:t xml:space="preserve">Koti sairaalana </w:t>
      </w:r>
      <w:r>
        <w:rPr>
          <w:rFonts w:ascii="Arial" w:hAnsi="Arial" w:cs="Arial" w:eastAsia="Arial"/>
          <w:i/>
          <w:color w:val="auto"/>
          <w:spacing w:val="0"/>
          <w:position w:val="0"/>
          <w:sz w:val="24"/>
          <w:shd w:fill="auto" w:val="clear"/>
        </w:rPr>
        <w:t xml:space="preserve">–</w:t>
      </w:r>
      <w:r>
        <w:rPr>
          <w:rFonts w:ascii="Arial" w:hAnsi="Arial" w:cs="Arial" w:eastAsia="Arial"/>
          <w:i/>
          <w:color w:val="auto"/>
          <w:spacing w:val="0"/>
          <w:position w:val="0"/>
          <w:sz w:val="24"/>
          <w:shd w:fill="auto" w:val="clear"/>
        </w:rPr>
        <w:t xml:space="preserve"> onnistuneen kotisairaalatoiminnan edellytykset</w:t>
      </w:r>
      <w:r>
        <w:rPr>
          <w:rFonts w:ascii="Arial" w:hAnsi="Arial" w:cs="Arial" w:eastAsia="Arial"/>
          <w:color w:val="auto"/>
          <w:spacing w:val="0"/>
          <w:position w:val="0"/>
          <w:sz w:val="24"/>
          <w:shd w:fill="auto" w:val="clear"/>
        </w:rPr>
        <w:t xml:space="preserve"> (KAKS-julkaisu 40). Kunnallisalan kehittämissäätiö. </w:t>
      </w:r>
      <w:hyperlink xmlns:r="http://schemas.openxmlformats.org/officeDocument/2006/relationships" r:id="docRId11">
        <w:r>
          <w:rPr>
            <w:rFonts w:ascii="Arial" w:hAnsi="Arial" w:cs="Arial" w:eastAsia="Arial"/>
            <w:color w:val="0000FF"/>
            <w:spacing w:val="0"/>
            <w:position w:val="0"/>
            <w:sz w:val="24"/>
            <w:u w:val="single"/>
            <w:shd w:fill="auto" w:val="clear"/>
          </w:rPr>
          <w:t xml:space="preserve">https://kaks.fi/wp-content/uploads/2021/03/40_koti-sairaalana.pdf</w:t>
        </w:r>
      </w:hyperlink>
    </w:p>
    <w:p>
      <w:pPr>
        <w:spacing w:before="0" w:after="160" w:line="312"/>
        <w:ind w:right="0" w:left="0" w:firstLine="0"/>
        <w:jc w:val="left"/>
        <w:rPr>
          <w:rFonts w:ascii="Arial" w:hAnsi="Arial" w:cs="Arial" w:eastAsia="Arial"/>
          <w:i/>
          <w:color w:val="auto"/>
          <w:spacing w:val="0"/>
          <w:position w:val="0"/>
          <w:sz w:val="24"/>
          <w:shd w:fill="auto" w:val="clear"/>
        </w:rPr>
      </w:pPr>
      <w:r>
        <w:rPr>
          <w:rFonts w:ascii="Arial" w:hAnsi="Arial" w:cs="Arial" w:eastAsia="Arial"/>
          <w:color w:val="auto"/>
          <w:spacing w:val="0"/>
          <w:position w:val="0"/>
          <w:sz w:val="24"/>
          <w:shd w:fill="auto" w:val="clear"/>
        </w:rPr>
        <w:t xml:space="preserve">Matos, R. (2023) Nursing Theories Addressing Pain Managment: Enhanching Quality of Life for Patients. J Nurs Health Sci, 9(5), 1-2. DOI: 10.4172/JNHS.2023.9.5.102</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Ollila, M. (2018). </w:t>
      </w:r>
      <w:r>
        <w:rPr>
          <w:rFonts w:ascii="Arial" w:hAnsi="Arial" w:cs="Arial" w:eastAsia="Arial"/>
          <w:i/>
          <w:color w:val="auto"/>
          <w:spacing w:val="0"/>
          <w:position w:val="0"/>
          <w:sz w:val="24"/>
          <w:shd w:fill="auto" w:val="clear"/>
        </w:rPr>
        <w:t xml:space="preserve">Kotisairaala ja sen rooli terveydenhuollossa</w:t>
      </w:r>
      <w:r>
        <w:rPr>
          <w:rFonts w:ascii="Arial" w:hAnsi="Arial" w:cs="Arial" w:eastAsia="Arial"/>
          <w:color w:val="auto"/>
          <w:spacing w:val="0"/>
          <w:position w:val="0"/>
          <w:sz w:val="24"/>
          <w:shd w:fill="auto" w:val="clear"/>
        </w:rPr>
        <w:t xml:space="preserve">. Duodecim.</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Paavola, L., Palomaa, A.-K., Hakala, M., Mäki-Asiala, M., Kerimaa, H., &amp; Pölkki, T. (2024). Documentation of pain assessment and management in somatic inpatient care: A cross-sectional study. </w:t>
      </w:r>
      <w:r>
        <w:rPr>
          <w:rFonts w:ascii="Arial" w:hAnsi="Arial" w:cs="Arial" w:eastAsia="Arial"/>
          <w:i/>
          <w:color w:val="auto"/>
          <w:spacing w:val="0"/>
          <w:position w:val="0"/>
          <w:sz w:val="24"/>
          <w:shd w:fill="auto" w:val="clear"/>
        </w:rPr>
        <w:t xml:space="preserve">Tutkiva Hoitotyö, 22</w:t>
      </w:r>
      <w:r>
        <w:rPr>
          <w:rFonts w:ascii="Arial" w:hAnsi="Arial" w:cs="Arial" w:eastAsia="Arial"/>
          <w:color w:val="auto"/>
          <w:spacing w:val="0"/>
          <w:position w:val="0"/>
          <w:sz w:val="24"/>
          <w:shd w:fill="auto" w:val="clear"/>
        </w:rPr>
        <w:t xml:space="preserve">, 21</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29.</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Pöyskö, E., Hylkilä, K., Männikkö, N., Männistö, M., &amp; Kääriäinen, M. (2024). School nurses’ evaluations of their competence in counseling adolescents on physical activity and use of digital technology: A cross-sectional study. </w:t>
      </w:r>
      <w:r>
        <w:rPr>
          <w:rFonts w:ascii="Arial" w:hAnsi="Arial" w:cs="Arial" w:eastAsia="Arial"/>
          <w:i/>
          <w:color w:val="auto"/>
          <w:spacing w:val="0"/>
          <w:position w:val="0"/>
          <w:sz w:val="24"/>
          <w:shd w:fill="auto" w:val="clear"/>
        </w:rPr>
        <w:t xml:space="preserve">Finnish Journal of EHealth and EWelfare, 16</w:t>
      </w:r>
      <w:r>
        <w:rPr>
          <w:rFonts w:ascii="Arial" w:hAnsi="Arial" w:cs="Arial" w:eastAsia="Arial"/>
          <w:color w:val="auto"/>
          <w:spacing w:val="0"/>
          <w:position w:val="0"/>
          <w:sz w:val="24"/>
          <w:shd w:fill="auto" w:val="clear"/>
        </w:rPr>
        <w:t xml:space="preserve">(4), 440</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456. </w:t>
      </w:r>
      <w:hyperlink xmlns:r="http://schemas.openxmlformats.org/officeDocument/2006/relationships" r:id="docRId12">
        <w:r>
          <w:rPr>
            <w:rFonts w:ascii="Arial" w:hAnsi="Arial" w:cs="Arial" w:eastAsia="Arial"/>
            <w:color w:val="0000FF"/>
            <w:spacing w:val="0"/>
            <w:position w:val="0"/>
            <w:sz w:val="24"/>
            <w:u w:val="single"/>
            <w:shd w:fill="auto" w:val="clear"/>
          </w:rPr>
          <w:t xml:space="preserve">https://doi.org/10.23996/fjhw.146718</w:t>
        </w:r>
      </w:hyperlink>
    </w:p>
    <w:p>
      <w:pPr>
        <w:spacing w:before="0" w:after="160" w:line="312"/>
        <w:ind w:right="0" w:left="0" w:firstLine="0"/>
        <w:jc w:val="left"/>
        <w:rPr>
          <w:rFonts w:ascii="Arial" w:hAnsi="Arial" w:cs="Arial" w:eastAsia="Arial"/>
          <w:i/>
          <w:color w:val="auto"/>
          <w:spacing w:val="0"/>
          <w:position w:val="0"/>
          <w:sz w:val="24"/>
          <w:shd w:fill="auto" w:val="clear"/>
        </w:rPr>
      </w:pPr>
      <w:r>
        <w:rPr>
          <w:rFonts w:ascii="Arial" w:hAnsi="Arial" w:cs="Arial" w:eastAsia="Arial"/>
          <w:color w:val="auto"/>
          <w:spacing w:val="0"/>
          <w:position w:val="0"/>
          <w:sz w:val="24"/>
          <w:shd w:fill="auto" w:val="clear"/>
        </w:rPr>
        <w:t xml:space="preserve">Siddiqui S.A., Zehra, T., Ahmed, A., Rehman, A., Ahmed, U. &amp; Afshan G. (2024) Enhancing Nursing Staff Clinical Skills of Pain Assessment: Impact of the Educational Course. </w:t>
      </w:r>
      <w:r>
        <w:rPr>
          <w:rFonts w:ascii="Arial" w:hAnsi="Arial" w:cs="Arial" w:eastAsia="Arial"/>
          <w:i/>
          <w:color w:val="auto"/>
          <w:spacing w:val="0"/>
          <w:position w:val="0"/>
          <w:sz w:val="24"/>
          <w:shd w:fill="auto" w:val="clear"/>
        </w:rPr>
        <w:t xml:space="preserve">International Journal on Nursing Education 16(3(, 13-23. </w:t>
      </w:r>
      <w:hyperlink xmlns:r="http://schemas.openxmlformats.org/officeDocument/2006/relationships" r:id="docRId13">
        <w:r>
          <w:rPr>
            <w:rFonts w:ascii="Arial" w:hAnsi="Arial" w:cs="Arial" w:eastAsia="Arial"/>
            <w:color w:val="0000FF"/>
            <w:spacing w:val="0"/>
            <w:position w:val="0"/>
            <w:sz w:val="24"/>
            <w:u w:val="single"/>
            <w:shd w:fill="auto" w:val="clear"/>
          </w:rPr>
          <w:t xml:space="preserve">https://doi.org/10.37506/jdp7j820</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Skarp, T. (2018). </w:t>
      </w:r>
      <w:r>
        <w:rPr>
          <w:rFonts w:ascii="Arial" w:hAnsi="Arial" w:cs="Arial" w:eastAsia="Arial"/>
          <w:i/>
          <w:color w:val="auto"/>
          <w:spacing w:val="0"/>
          <w:position w:val="0"/>
          <w:sz w:val="24"/>
          <w:shd w:fill="auto" w:val="clear"/>
        </w:rPr>
        <w:t xml:space="preserve">Laatu kotisairaalatoiminnassa</w:t>
      </w:r>
      <w:r>
        <w:rPr>
          <w:rFonts w:ascii="Arial" w:hAnsi="Arial" w:cs="Arial" w:eastAsia="Arial"/>
          <w:color w:val="auto"/>
          <w:spacing w:val="0"/>
          <w:position w:val="0"/>
          <w:sz w:val="24"/>
          <w:shd w:fill="auto" w:val="clear"/>
        </w:rPr>
        <w:t xml:space="preserve">. Duodecim.</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Sebold, L., Willrich Böell, J., Reis Girondi, J. &amp; Guedes dos Santos, J. (2017) Clinical simulation: Development of relational competence and practical skills in nursing fundamentals.</w:t>
      </w:r>
      <w:r>
        <w:rPr>
          <w:rFonts w:ascii="Arial" w:hAnsi="Arial" w:cs="Arial" w:eastAsia="Arial"/>
          <w:i/>
          <w:color w:val="auto"/>
          <w:spacing w:val="0"/>
          <w:position w:val="0"/>
          <w:sz w:val="24"/>
          <w:shd w:fill="auto" w:val="clear"/>
        </w:rPr>
        <w:t xml:space="preserve"> Journal of Nursing 11(10), 4184</w:t>
      </w:r>
      <w:r>
        <w:rPr>
          <w:rFonts w:ascii="Arial" w:hAnsi="Arial" w:cs="Arial" w:eastAsia="Arial"/>
          <w:i/>
          <w:color w:val="auto"/>
          <w:spacing w:val="0"/>
          <w:position w:val="0"/>
          <w:sz w:val="24"/>
          <w:shd w:fill="auto" w:val="clear"/>
        </w:rPr>
        <w:t xml:space="preserve">–</w:t>
      </w:r>
      <w:r>
        <w:rPr>
          <w:rFonts w:ascii="Arial" w:hAnsi="Arial" w:cs="Arial" w:eastAsia="Arial"/>
          <w:i/>
          <w:color w:val="auto"/>
          <w:spacing w:val="0"/>
          <w:position w:val="0"/>
          <w:sz w:val="24"/>
          <w:shd w:fill="auto" w:val="clear"/>
        </w:rPr>
        <w:t xml:space="preserve">4190.</w:t>
      </w:r>
      <w:r>
        <w:rPr>
          <w:rFonts w:ascii="Arial" w:hAnsi="Arial" w:cs="Arial" w:eastAsia="Arial"/>
          <w:color w:val="auto"/>
          <w:spacing w:val="0"/>
          <w:position w:val="0"/>
          <w:sz w:val="24"/>
          <w:shd w:fill="auto" w:val="clear"/>
        </w:rPr>
        <w:t xml:space="preserve"> DOI: 10.5205/reuol.10712-95194-3-SM.1110sup201723</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Suomen kotisairaalayhdistys ry. (2025). </w:t>
      </w:r>
      <w:r>
        <w:rPr>
          <w:rFonts w:ascii="Arial" w:hAnsi="Arial" w:cs="Arial" w:eastAsia="Arial"/>
          <w:i/>
          <w:color w:val="auto"/>
          <w:spacing w:val="0"/>
          <w:position w:val="0"/>
          <w:sz w:val="24"/>
          <w:shd w:fill="auto" w:val="clear"/>
        </w:rPr>
        <w:t xml:space="preserve">Yhdistys</w:t>
      </w:r>
      <w:r>
        <w:rPr>
          <w:rFonts w:ascii="Arial" w:hAnsi="Arial" w:cs="Arial" w:eastAsia="Arial"/>
          <w:color w:val="auto"/>
          <w:spacing w:val="0"/>
          <w:position w:val="0"/>
          <w:sz w:val="24"/>
          <w:shd w:fill="auto" w:val="clear"/>
        </w:rPr>
        <w:t xml:space="preserve">. </w:t>
      </w:r>
      <w:hyperlink xmlns:r="http://schemas.openxmlformats.org/officeDocument/2006/relationships" r:id="docRId14">
        <w:r>
          <w:rPr>
            <w:rFonts w:ascii="Arial" w:hAnsi="Arial" w:cs="Arial" w:eastAsia="Arial"/>
            <w:color w:val="0000FF"/>
            <w:spacing w:val="0"/>
            <w:position w:val="0"/>
            <w:sz w:val="24"/>
            <w:u w:val="single"/>
            <w:shd w:fill="auto" w:val="clear"/>
          </w:rPr>
          <w:t xml:space="preserve">https://suomenkotisairaalayhdistys.yhdistysavain.fi/yhdistys/</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Terveydenhuollon ammattihenkilöiden neuvottelukunta &amp; Hoitotyön jaosto. (2016). </w:t>
      </w:r>
      <w:r>
        <w:rPr>
          <w:rFonts w:ascii="Arial" w:hAnsi="Arial" w:cs="Arial" w:eastAsia="Arial"/>
          <w:i/>
          <w:color w:val="auto"/>
          <w:spacing w:val="0"/>
          <w:position w:val="0"/>
          <w:sz w:val="24"/>
          <w:shd w:fill="auto" w:val="clear"/>
        </w:rPr>
        <w:t xml:space="preserve">Kliinisen hoitotyön erikoisosaaminen: Kehittämisehdotukset tukemaan työelämän muutosta</w:t>
      </w:r>
      <w:r>
        <w:rPr>
          <w:rFonts w:ascii="Arial" w:hAnsi="Arial" w:cs="Arial" w:eastAsia="Arial"/>
          <w:color w:val="auto"/>
          <w:spacing w:val="0"/>
          <w:position w:val="0"/>
          <w:sz w:val="24"/>
          <w:shd w:fill="auto" w:val="clear"/>
        </w:rPr>
        <w:t xml:space="preserve">. </w:t>
      </w:r>
      <w:hyperlink xmlns:r="http://schemas.openxmlformats.org/officeDocument/2006/relationships" r:id="docRId15">
        <w:r>
          <w:rPr>
            <w:rFonts w:ascii="Arial" w:hAnsi="Arial" w:cs="Arial" w:eastAsia="Arial"/>
            <w:color w:val="0000FF"/>
            <w:spacing w:val="0"/>
            <w:position w:val="0"/>
            <w:sz w:val="24"/>
            <w:u w:val="single"/>
            <w:shd w:fill="auto" w:val="clear"/>
          </w:rPr>
          <w:t xml:space="preserve">https://urn.fi/URN:ISBN:978-952-00-3843-4</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Terveydenhuoltolaki 1326/2010.</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Tutkimuseettinen neuvottelukunta. (2019). </w:t>
      </w:r>
      <w:r>
        <w:rPr>
          <w:rFonts w:ascii="Arial" w:hAnsi="Arial" w:cs="Arial" w:eastAsia="Arial"/>
          <w:i/>
          <w:color w:val="auto"/>
          <w:spacing w:val="0"/>
          <w:position w:val="0"/>
          <w:sz w:val="24"/>
          <w:shd w:fill="auto" w:val="clear"/>
        </w:rPr>
        <w:t xml:space="preserve">Ihmistieteiden eettisen ennakkoarvioinnin ohje 2019</w:t>
      </w:r>
      <w:r>
        <w:rPr>
          <w:rFonts w:ascii="Arial" w:hAnsi="Arial" w:cs="Arial" w:eastAsia="Arial"/>
          <w:color w:val="auto"/>
          <w:spacing w:val="0"/>
          <w:position w:val="0"/>
          <w:sz w:val="24"/>
          <w:shd w:fill="auto" w:val="clear"/>
        </w:rPr>
        <w:t xml:space="preserve">. Tutkimuseettinen neuvottelukunta. </w:t>
      </w:r>
      <w:hyperlink xmlns:r="http://schemas.openxmlformats.org/officeDocument/2006/relationships" r:id="docRId16">
        <w:r>
          <w:rPr>
            <w:rFonts w:ascii="Arial" w:hAnsi="Arial" w:cs="Arial" w:eastAsia="Arial"/>
            <w:color w:val="0000FF"/>
            <w:spacing w:val="0"/>
            <w:position w:val="0"/>
            <w:sz w:val="24"/>
            <w:u w:val="single"/>
            <w:shd w:fill="auto" w:val="clear"/>
          </w:rPr>
          <w:t xml:space="preserve">https://tenk.fi/sites/default/files/2021-01/Ihmistieteiden_eettisen_ennakkoarvioinnin_ohje_2020.pdf</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Tutkimuseettinen neuvottelukunta. (2023). </w:t>
      </w:r>
      <w:r>
        <w:rPr>
          <w:rFonts w:ascii="Arial" w:hAnsi="Arial" w:cs="Arial" w:eastAsia="Arial"/>
          <w:i/>
          <w:color w:val="auto"/>
          <w:spacing w:val="0"/>
          <w:position w:val="0"/>
          <w:sz w:val="24"/>
          <w:shd w:fill="auto" w:val="clear"/>
        </w:rPr>
        <w:t xml:space="preserve">Hyvä tieteellinen käytäntö ja sen loukkausten käsitteleminen Suomessa (HTK-ohje 2023).</w:t>
      </w:r>
      <w:r>
        <w:rPr>
          <w:rFonts w:ascii="Arial" w:hAnsi="Arial" w:cs="Arial" w:eastAsia="Arial"/>
          <w:color w:val="auto"/>
          <w:spacing w:val="0"/>
          <w:position w:val="0"/>
          <w:sz w:val="24"/>
          <w:shd w:fill="auto" w:val="clear"/>
        </w:rPr>
        <w:t xml:space="preserve"> Tutkimuseettinen neuvottelukunta. </w:t>
      </w:r>
      <w:hyperlink xmlns:r="http://schemas.openxmlformats.org/officeDocument/2006/relationships" r:id="docRId17">
        <w:r>
          <w:rPr>
            <w:rFonts w:ascii="Arial" w:hAnsi="Arial" w:cs="Arial" w:eastAsia="Arial"/>
            <w:color w:val="0000FF"/>
            <w:spacing w:val="0"/>
            <w:position w:val="0"/>
            <w:sz w:val="24"/>
            <w:u w:val="single"/>
            <w:shd w:fill="auto" w:val="clear"/>
          </w:rPr>
          <w:t xml:space="preserve">https://tenk.fi/fi/hyva-tieteellinen-kaytanto-htk</w:t>
        </w:r>
      </w:hyperlink>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Vainio, A. (2006). </w:t>
      </w:r>
      <w:r>
        <w:rPr>
          <w:rFonts w:ascii="Arial" w:hAnsi="Arial" w:cs="Arial" w:eastAsia="Arial"/>
          <w:i/>
          <w:color w:val="auto"/>
          <w:spacing w:val="0"/>
          <w:position w:val="0"/>
          <w:sz w:val="24"/>
          <w:shd w:fill="auto" w:val="clear"/>
        </w:rPr>
        <w:t xml:space="preserve">Kivunhallinta</w:t>
      </w:r>
      <w:r>
        <w:rPr>
          <w:rFonts w:ascii="Arial" w:hAnsi="Arial" w:cs="Arial" w:eastAsia="Arial"/>
          <w:color w:val="auto"/>
          <w:spacing w:val="0"/>
          <w:position w:val="0"/>
          <w:sz w:val="24"/>
          <w:shd w:fill="auto" w:val="clear"/>
        </w:rPr>
        <w:t xml:space="preserve">. Duodecim.</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Valta, M., Saarenketo, J., Toivanen, T., &amp; Lehtola, L. (2021). Mikrobilääkepumput yleistyvät Suomen kotisairaaloissa. </w:t>
      </w:r>
      <w:r>
        <w:rPr>
          <w:rFonts w:ascii="Arial" w:hAnsi="Arial" w:cs="Arial" w:eastAsia="Arial"/>
          <w:i/>
          <w:color w:val="auto"/>
          <w:spacing w:val="0"/>
          <w:position w:val="0"/>
          <w:sz w:val="24"/>
          <w:shd w:fill="auto" w:val="clear"/>
        </w:rPr>
        <w:t xml:space="preserve">Duodecim, 137</w:t>
      </w:r>
      <w:r>
        <w:rPr>
          <w:rFonts w:ascii="Arial" w:hAnsi="Arial" w:cs="Arial" w:eastAsia="Arial"/>
          <w:color w:val="auto"/>
          <w:spacing w:val="0"/>
          <w:position w:val="0"/>
          <w:sz w:val="24"/>
          <w:shd w:fill="auto" w:val="clear"/>
        </w:rPr>
        <w:t xml:space="preserve">, 2629</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2631.</w:t>
      </w:r>
    </w:p>
    <w:p>
      <w:pPr>
        <w:spacing w:before="0" w:after="160" w:line="312"/>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Vilkka, H. (2018). </w:t>
      </w:r>
      <w:r>
        <w:rPr>
          <w:rFonts w:ascii="Arial" w:hAnsi="Arial" w:cs="Arial" w:eastAsia="Arial"/>
          <w:i/>
          <w:color w:val="auto"/>
          <w:spacing w:val="0"/>
          <w:position w:val="0"/>
          <w:sz w:val="24"/>
          <w:shd w:fill="auto" w:val="clear"/>
        </w:rPr>
        <w:t xml:space="preserve">Tutki ja kehitä</w:t>
      </w:r>
      <w:r>
        <w:rPr>
          <w:rFonts w:ascii="Arial" w:hAnsi="Arial" w:cs="Arial" w:eastAsia="Arial"/>
          <w:color w:val="auto"/>
          <w:spacing w:val="0"/>
          <w:position w:val="0"/>
          <w:sz w:val="24"/>
          <w:shd w:fill="auto" w:val="clear"/>
        </w:rPr>
        <w:t xml:space="preserve">. PS-kustannus.</w:t>
      </w:r>
    </w:p>
    <w:p>
      <w:pPr>
        <w:spacing w:before="240" w:after="240" w:line="276"/>
        <w:ind w:right="0" w:left="0" w:firstLine="0"/>
        <w:jc w:val="left"/>
        <w:rPr>
          <w:rFonts w:ascii="Arial" w:hAnsi="Arial" w:cs="Arial" w:eastAsia="Arial"/>
          <w:color w:val="auto"/>
          <w:spacing w:val="0"/>
          <w:position w:val="0"/>
          <w:sz w:val="16"/>
          <w:shd w:fill="auto" w:val="clear"/>
        </w:rPr>
      </w:pPr>
      <w:r>
        <w:rPr>
          <w:rFonts w:ascii="Arial" w:hAnsi="Arial" w:cs="Arial" w:eastAsia="Arial"/>
          <w:color w:val="auto"/>
          <w:spacing w:val="0"/>
          <w:position w:val="0"/>
          <w:sz w:val="24"/>
          <w:shd w:fill="auto" w:val="clear"/>
        </w:rPr>
        <w:t xml:space="preserve">Wu, Y., Pan, X., Gu, L., Tong, Y., Chen, S., Ni, K., Du, H., Yang, M., Wang, J. Chen, Y., Wei, Y., Luo, L. &amp; Cheng W. (2025). </w:t>
      </w:r>
      <w:r>
        <w:rPr>
          <w:rFonts w:ascii="Arial" w:hAnsi="Arial" w:cs="Arial" w:eastAsia="Arial"/>
          <w:i/>
          <w:color w:val="auto"/>
          <w:spacing w:val="0"/>
          <w:position w:val="0"/>
          <w:sz w:val="24"/>
          <w:shd w:fill="auto" w:val="clear"/>
        </w:rPr>
        <w:t xml:space="preserve">Development and validation of the pain management competency scale for nurses and a nationwide survey of Chinese nurses. BMC Nurcing 24(98), 1</w:t>
      </w:r>
      <w:r>
        <w:rPr>
          <w:rFonts w:ascii="Arial" w:hAnsi="Arial" w:cs="Arial" w:eastAsia="Arial"/>
          <w:i/>
          <w:color w:val="auto"/>
          <w:spacing w:val="0"/>
          <w:position w:val="0"/>
          <w:sz w:val="24"/>
          <w:shd w:fill="auto" w:val="clear"/>
        </w:rPr>
        <w:t xml:space="preserve">–</w:t>
      </w:r>
      <w:r>
        <w:rPr>
          <w:rFonts w:ascii="Arial" w:hAnsi="Arial" w:cs="Arial" w:eastAsia="Arial"/>
          <w:i/>
          <w:color w:val="auto"/>
          <w:spacing w:val="0"/>
          <w:position w:val="0"/>
          <w:sz w:val="24"/>
          <w:shd w:fill="auto" w:val="clear"/>
        </w:rPr>
        <w:t xml:space="preserve">14. </w:t>
      </w:r>
      <w:hyperlink xmlns:r="http://schemas.openxmlformats.org/officeDocument/2006/relationships" r:id="docRId18">
        <w:r>
          <w:rPr>
            <w:rFonts w:ascii="Arial" w:hAnsi="Arial" w:cs="Arial" w:eastAsia="Arial"/>
            <w:color w:val="0000FF"/>
            <w:spacing w:val="0"/>
            <w:position w:val="0"/>
            <w:sz w:val="24"/>
            <w:u w:val="single"/>
            <w:shd w:fill="auto" w:val="clear"/>
          </w:rPr>
          <w:t xml:space="preserve">https://doi.org/10.1186/s12912-025-02733-6</w:t>
        </w:r>
      </w:hyperlink>
    </w:p>
    <w:p>
      <w:pPr>
        <w:suppressAutoHyphens w:val="true"/>
        <w:spacing w:before="0" w:after="480" w:line="312"/>
        <w:ind w:right="0" w:left="0" w:firstLine="0"/>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Liite 1. Saatekirje</w:t>
      </w:r>
    </w:p>
    <w:p>
      <w:pPr>
        <w:spacing w:before="0" w:after="160" w:line="278"/>
        <w:ind w:right="0" w:left="0" w:firstLine="0"/>
        <w:jc w:val="left"/>
        <w:rPr>
          <w:rFonts w:ascii="Arial" w:hAnsi="Arial" w:cs="Arial" w:eastAsia="Arial"/>
          <w:color w:val="auto"/>
          <w:spacing w:val="0"/>
          <w:position w:val="0"/>
          <w:sz w:val="24"/>
          <w:shd w:fill="auto" w:val="clear"/>
        </w:rPr>
      </w:pPr>
      <w:r>
        <w:object w:dxaOrig="8163" w:dyaOrig="10833">
          <v:rect xmlns:o="urn:schemas-microsoft-com:office:office" xmlns:v="urn:schemas-microsoft-com:vml" id="rectole0000000001" style="width:408.150000pt;height:541.650000pt" o:preferrelative="t" o:ole="">
            <o:lock v:ext="edit"/>
            <v:imagedata xmlns:r="http://schemas.openxmlformats.org/officeDocument/2006/relationships" r:id="docRId20" o:title=""/>
          </v:rect>
          <o:OLEObject xmlns:r="http://schemas.openxmlformats.org/officeDocument/2006/relationships" xmlns:o="urn:schemas-microsoft-com:office:office" Type="Embed" ProgID="StaticMetafile" DrawAspect="Content" ObjectID="0000000001" ShapeID="rectole0000000001" r:id="docRId19"/>
        </w:object>
      </w:r>
    </w:p>
    <w:p>
      <w:pPr>
        <w:spacing w:before="0" w:after="160" w:line="276"/>
        <w:ind w:right="0" w:left="0" w:firstLine="0"/>
        <w:jc w:val="left"/>
        <w:rPr>
          <w:rFonts w:ascii="Arial" w:hAnsi="Arial" w:cs="Arial" w:eastAsia="Arial"/>
          <w:color w:val="auto"/>
          <w:spacing w:val="0"/>
          <w:position w:val="0"/>
          <w:sz w:val="24"/>
          <w:shd w:fill="auto" w:val="clear"/>
        </w:rPr>
      </w:pPr>
    </w:p>
    <w:p>
      <w:pPr>
        <w:spacing w:before="0" w:after="160" w:line="312"/>
        <w:ind w:right="0" w:left="0" w:firstLine="0"/>
        <w:jc w:val="left"/>
        <w:rPr>
          <w:rFonts w:ascii="Arial" w:hAnsi="Arial" w:cs="Arial" w:eastAsia="Arial"/>
          <w:color w:val="auto"/>
          <w:spacing w:val="0"/>
          <w:position w:val="0"/>
          <w:sz w:val="24"/>
          <w:shd w:fill="auto" w:val="clear"/>
        </w:rPr>
      </w:pPr>
    </w:p>
    <w:p>
      <w:pPr>
        <w:suppressAutoHyphens w:val="true"/>
        <w:spacing w:before="0" w:after="200" w:line="276"/>
        <w:ind w:right="0" w:left="0" w:firstLine="0"/>
        <w:jc w:val="left"/>
        <w:rPr>
          <w:rFonts w:ascii="Arial" w:hAnsi="Arial" w:cs="Arial" w:eastAsia="Arial"/>
          <w:b/>
          <w:color w:val="auto"/>
          <w:spacing w:val="0"/>
          <w:position w:val="0"/>
          <w:sz w:val="32"/>
          <w:shd w:fill="auto" w:val="clear"/>
        </w:rPr>
      </w:pPr>
    </w:p>
    <w:p>
      <w:pPr>
        <w:suppressAutoHyphens w:val="true"/>
        <w:spacing w:before="0" w:after="480" w:line="312"/>
        <w:ind w:right="0" w:left="0" w:firstLine="0"/>
        <w:jc w:val="left"/>
        <w:rPr>
          <w:rFonts w:ascii="Arial" w:hAnsi="Arial" w:cs="Arial" w:eastAsia="Arial"/>
          <w:b/>
          <w:color w:val="auto"/>
          <w:spacing w:val="0"/>
          <w:position w:val="0"/>
          <w:sz w:val="32"/>
          <w:shd w:fill="auto" w:val="clear"/>
        </w:rPr>
      </w:pPr>
      <w:r>
        <w:object w:dxaOrig="7948" w:dyaOrig="12423">
          <v:rect xmlns:o="urn:schemas-microsoft-com:office:office" xmlns:v="urn:schemas-microsoft-com:vml" id="rectole0000000002" style="width:397.400000pt;height:621.150000pt" o:preferrelative="t" o:ole="">
            <o:lock v:ext="edit"/>
            <v:imagedata xmlns:r="http://schemas.openxmlformats.org/officeDocument/2006/relationships" r:id="docRId22" o:title=""/>
          </v:rect>
          <o:OLEObject xmlns:r="http://schemas.openxmlformats.org/officeDocument/2006/relationships" xmlns:o="urn:schemas-microsoft-com:office:office" Type="Embed" ProgID="StaticMetafile" DrawAspect="Content" ObjectID="0000000002" ShapeID="rectole0000000002" r:id="docRId21"/>
        </w:object>
      </w:r>
      <w:r>
        <w:rPr>
          <w:rFonts w:ascii="Arial" w:hAnsi="Arial" w:cs="Arial" w:eastAsia="Arial"/>
          <w:b/>
          <w:color w:val="auto"/>
          <w:spacing w:val="0"/>
          <w:position w:val="0"/>
          <w:sz w:val="32"/>
          <w:shd w:fill="auto" w:val="clear"/>
        </w:rPr>
        <w:t xml:space="preserve">Liite 2. Aineistonhallintasuunnitelma</w:t>
      </w:r>
    </w:p>
    <w:p>
      <w:pPr>
        <w:spacing w:before="0" w:after="160" w:line="278"/>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object w:dxaOrig="7257" w:dyaOrig="6465">
          <v:rect xmlns:o="urn:schemas-microsoft-com:office:office" xmlns:v="urn:schemas-microsoft-com:vml" id="rectole0000000003" style="width:362.850000pt;height:323.250000pt" o:preferrelative="t" o:ole="">
            <o:lock v:ext="edit"/>
            <v:imagedata xmlns:r="http://schemas.openxmlformats.org/officeDocument/2006/relationships" r:id="docRId24" o:title=""/>
          </v:rect>
          <o:OLEObject xmlns:r="http://schemas.openxmlformats.org/officeDocument/2006/relationships" xmlns:o="urn:schemas-microsoft-com:office:office" Type="Embed" ProgID="StaticMetafile" DrawAspect="Content" ObjectID="0000000003" ShapeID="rectole0000000003" r:id="docRId23"/>
        </w:object>
      </w:r>
    </w:p>
    <w:p>
      <w:pPr>
        <w:spacing w:before="0" w:after="200" w:line="276"/>
        <w:ind w:right="0" w:left="0" w:firstLine="0"/>
        <w:jc w:val="left"/>
        <w:rPr>
          <w:rFonts w:ascii="Arial" w:hAnsi="Arial" w:cs="Arial" w:eastAsia="Arial"/>
          <w:color w:val="auto"/>
          <w:spacing w:val="0"/>
          <w:position w:val="0"/>
          <w:sz w:val="24"/>
          <w:shd w:fill="auto" w:val="clear"/>
        </w:rPr>
      </w:pPr>
      <w:r>
        <w:object w:dxaOrig="7372" w:dyaOrig="6499">
          <v:rect xmlns:o="urn:schemas-microsoft-com:office:office" xmlns:v="urn:schemas-microsoft-com:vml" id="rectole0000000004" style="width:368.600000pt;height:324.950000pt" o:preferrelative="t" o:ole="">
            <o:lock v:ext="edit"/>
            <v:imagedata xmlns:r="http://schemas.openxmlformats.org/officeDocument/2006/relationships" r:id="docRId26" o:title=""/>
          </v:rect>
          <o:OLEObject xmlns:r="http://schemas.openxmlformats.org/officeDocument/2006/relationships" xmlns:o="urn:schemas-microsoft-com:office:office" Type="Embed" ProgID="StaticMetafile" DrawAspect="Content" ObjectID="0000000004" ShapeID="rectole0000000004" r:id="docRId25"/>
        </w:object>
      </w:r>
    </w:p>
    <w:p>
      <w:pPr>
        <w:spacing w:before="0" w:after="200" w:line="276"/>
        <w:ind w:right="0" w:left="0" w:firstLine="0"/>
        <w:jc w:val="left"/>
        <w:rPr>
          <w:rFonts w:ascii="Arial" w:hAnsi="Arial" w:cs="Arial" w:eastAsia="Arial"/>
          <w:color w:val="auto"/>
          <w:spacing w:val="0"/>
          <w:position w:val="0"/>
          <w:sz w:val="24"/>
          <w:shd w:fill="auto" w:val="clear"/>
        </w:rPr>
      </w:pPr>
    </w:p>
    <w:p>
      <w:pPr>
        <w:suppressAutoHyphens w:val="true"/>
        <w:spacing w:before="0" w:after="480" w:line="312"/>
        <w:ind w:right="0" w:left="0" w:firstLine="0"/>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Liite 3. Parityöskentelyn SWOT-analyysi</w:t>
      </w:r>
    </w:p>
    <w:p>
      <w:pPr>
        <w:spacing w:before="0" w:after="160" w:line="278"/>
        <w:ind w:right="0" w:left="0" w:firstLine="0"/>
        <w:jc w:val="left"/>
        <w:rPr>
          <w:rFonts w:ascii="Arial" w:hAnsi="Arial" w:cs="Arial" w:eastAsia="Arial"/>
          <w:color w:val="auto"/>
          <w:spacing w:val="0"/>
          <w:position w:val="0"/>
          <w:sz w:val="24"/>
          <w:shd w:fill="auto" w:val="clear"/>
        </w:rPr>
      </w:pPr>
    </w:p>
    <w:tbl>
      <w:tblPr/>
      <w:tblGrid>
        <w:gridCol w:w="2122"/>
        <w:gridCol w:w="2100"/>
        <w:gridCol w:w="2115"/>
        <w:gridCol w:w="2295"/>
      </w:tblGrid>
      <w:tr>
        <w:trPr>
          <w:trHeight w:val="300" w:hRule="auto"/>
          <w:jc w:val="left"/>
        </w:trPr>
        <w:tc>
          <w:tcPr>
            <w:tcW w:w="21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Vahvuudet (Strengths)</w:t>
            </w:r>
          </w:p>
        </w:tc>
        <w:tc>
          <w:tcPr>
            <w:tcW w:w="21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Heikkoudet (Weaknesses)</w:t>
            </w:r>
          </w:p>
        </w:tc>
        <w:tc>
          <w:tcPr>
            <w:tcW w:w="21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Mahdollisuudet (Opportunities)</w:t>
            </w:r>
          </w:p>
        </w:tc>
        <w:tc>
          <w:tcPr>
            <w:tcW w:w="229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Uhat (Threats)</w:t>
            </w:r>
          </w:p>
        </w:tc>
      </w:tr>
      <w:tr>
        <w:trPr>
          <w:trHeight w:val="300" w:hRule="auto"/>
          <w:jc w:val="left"/>
        </w:trPr>
        <w:tc>
          <w:tcPr>
            <w:tcW w:w="21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Työparin mahdollisuus jakaa vastuuta ja kuormitusta koko opinnäytetyöprosessin ajan</w:t>
            </w:r>
          </w:p>
        </w:tc>
        <w:tc>
          <w:tcPr>
            <w:tcW w:w="21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Eri työskentely- ja kirjoitustyylit voivat vaatia aikaa yhteensovittamiseen</w:t>
            </w:r>
          </w:p>
        </w:tc>
        <w:tc>
          <w:tcPr>
            <w:tcW w:w="21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Opinnäytetyö voi toimia pohjana jatkokehittämiselle, julkaisu- tai hanketoiminnalle</w:t>
            </w:r>
          </w:p>
        </w:tc>
        <w:tc>
          <w:tcPr>
            <w:tcW w:w="229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Ulkopuoliset tekijät esimerkiksi sairastuminen tai kiire</w:t>
            </w:r>
          </w:p>
        </w:tc>
      </w:tr>
      <w:tr>
        <w:trPr>
          <w:trHeight w:val="300" w:hRule="auto"/>
          <w:jc w:val="left"/>
        </w:trPr>
        <w:tc>
          <w:tcPr>
            <w:tcW w:w="21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Erilaiset osaamisprofiilit ja näkökulmat tukevat työn sisällöllistä laatua ja moniulotteista tarkastelua</w:t>
            </w:r>
          </w:p>
        </w:tc>
        <w:tc>
          <w:tcPr>
            <w:tcW w:w="21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Aikataulujen yhteensovittaminen voi olla haastavaa muiden opintojen ja työelämän vaatimusten vuoksi</w:t>
            </w:r>
          </w:p>
        </w:tc>
        <w:tc>
          <w:tcPr>
            <w:tcW w:w="21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Työ tukee tiimityö-, vuorovaikutus- ja neuvottelutaitojen kehittymistä</w:t>
            </w:r>
          </w:p>
        </w:tc>
        <w:tc>
          <w:tcPr>
            <w:tcW w:w="229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Työparin väliset erimielisyydet voivat hidastaa päätöksentekoa, ellei niihin puututa ajoissa</w:t>
            </w:r>
          </w:p>
        </w:tc>
      </w:tr>
      <w:tr>
        <w:trPr>
          <w:trHeight w:val="300" w:hRule="auto"/>
          <w:jc w:val="left"/>
        </w:trPr>
        <w:tc>
          <w:tcPr>
            <w:tcW w:w="21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Yhteinen kiinnostus aiheeseen lisää motivaatiota ja sitoutumista</w:t>
            </w:r>
          </w:p>
        </w:tc>
        <w:tc>
          <w:tcPr>
            <w:tcW w:w="21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Vastuun jakautuminen voi ajoittain olla epätasaista, jos työn etenemistä ei seurata systemaattisesti</w:t>
            </w:r>
          </w:p>
        </w:tc>
        <w:tc>
          <w:tcPr>
            <w:tcW w:w="21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Työparin tuki lisää jaksamista ja vähentää yksin työskentelyyn liittyvää kuormitusta</w:t>
            </w:r>
          </w:p>
        </w:tc>
        <w:tc>
          <w:tcPr>
            <w:tcW w:w="229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Epäselvä työnjako voi aiheuttaa päällekkäistä työtä tai vastuun siirtymistä toiselle osapuolelle</w:t>
            </w:r>
          </w:p>
        </w:tc>
      </w:tr>
      <w:tr>
        <w:trPr>
          <w:trHeight w:val="300" w:hRule="auto"/>
          <w:jc w:val="left"/>
        </w:trPr>
        <w:tc>
          <w:tcPr>
            <w:tcW w:w="212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Parityöskentely mahdollistaa työn etenemisen myös poissaolojen tai tilapäisten esteiden aikana</w:t>
            </w:r>
          </w:p>
        </w:tc>
        <w:tc>
          <w:tcPr>
            <w:tcW w:w="21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rFonts w:ascii="Calibri" w:hAnsi="Calibri" w:cs="Calibri" w:eastAsia="Calibri"/>
                <w:color w:val="auto"/>
                <w:spacing w:val="0"/>
                <w:position w:val="0"/>
                <w:sz w:val="22"/>
                <w:shd w:fill="auto" w:val="clear"/>
              </w:rPr>
            </w:pPr>
          </w:p>
        </w:tc>
        <w:tc>
          <w:tcPr>
            <w:tcW w:w="21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rFonts w:ascii="Calibri" w:hAnsi="Calibri" w:cs="Calibri" w:eastAsia="Calibri"/>
                <w:color w:val="auto"/>
                <w:spacing w:val="0"/>
                <w:position w:val="0"/>
                <w:sz w:val="22"/>
                <w:shd w:fill="auto" w:val="clear"/>
              </w:rPr>
            </w:pPr>
          </w:p>
        </w:tc>
        <w:tc>
          <w:tcPr>
            <w:tcW w:w="229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78"/>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Motivaation tai ajankäytön epätasapaino voi vaikuttaa työn laatuun ja aikatauluun</w:t>
            </w:r>
          </w:p>
          <w:p>
            <w:pPr>
              <w:spacing w:before="0" w:after="160" w:line="278"/>
              <w:ind w:right="0" w:left="0" w:firstLine="0"/>
              <w:jc w:val="left"/>
              <w:rPr>
                <w:color w:val="auto"/>
                <w:spacing w:val="0"/>
                <w:position w:val="0"/>
                <w:shd w:fill="auto" w:val="clear"/>
              </w:rPr>
            </w:pPr>
          </w:p>
        </w:tc>
      </w:tr>
    </w:tbl>
    <w:p>
      <w:pPr>
        <w:suppressAutoHyphens w:val="true"/>
        <w:spacing w:before="0" w:after="480" w:line="312"/>
        <w:ind w:right="0" w:left="0" w:firstLine="0"/>
        <w:jc w:val="left"/>
        <w:rPr>
          <w:rFonts w:ascii="Arial" w:hAnsi="Arial" w:cs="Arial" w:eastAsia="Arial"/>
          <w:b/>
          <w:color w:val="auto"/>
          <w:spacing w:val="0"/>
          <w:position w:val="0"/>
          <w:sz w:val="32"/>
          <w:shd w:fill="auto" w:val="clear"/>
        </w:rPr>
      </w:pPr>
    </w:p>
    <w:p>
      <w:pPr>
        <w:suppressAutoHyphens w:val="true"/>
        <w:spacing w:before="0" w:after="480" w:line="312"/>
        <w:ind w:right="0" w:left="0" w:firstLine="0"/>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Liite 4. Työnjako</w:t>
      </w:r>
    </w:p>
    <w:tbl>
      <w:tblPr/>
      <w:tblGrid>
        <w:gridCol w:w="4962"/>
        <w:gridCol w:w="1589"/>
        <w:gridCol w:w="1923"/>
      </w:tblGrid>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Opinnäytetyön osa-alue</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Nea Lampinen</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Tanja Niemelä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Aiheen ideointi ja rajaus</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Tausta ja tarve -luku</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Päävastuu</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Osallistuu, kommentoi</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Teoreettinen tausta: kotisairaala</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Päävastuu</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Osallistuu</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Teoreettinen tausta: akuutti kipu</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Päävastuu</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Osallistuu</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Tavoite ja tarkoitus</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Toteutus ja menetelmälliset ratkaisut</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Osallistuu</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Päävastuu</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Kyselylomakkeen laadinta</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Aineistonkeruun toteutus</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Aineiston analyysi</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Eettisyys ja luotettavuus</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Osallistuu</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Päävastuu</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Tulosten tulkinta ja johtopäätökset</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Opinnäytetyön raportointi ja viimeistely</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Viestintä toimeksiantajan kanssa</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Osallistuu</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Päävastuu</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Viestintä ohjaavan opettajan kanssa</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Osallistuu</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Päävastuu</w:t>
            </w:r>
          </w:p>
        </w:tc>
      </w:tr>
      <w:tr>
        <w:trPr>
          <w:trHeight w:val="1" w:hRule="atLeast"/>
          <w:jc w:val="left"/>
        </w:trPr>
        <w:tc>
          <w:tcPr>
            <w:tcW w:w="4962"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Liitteiden laatiminen (saatekirje, tietosuojaseloste, kyselyrunko)</w:t>
            </w:r>
          </w:p>
        </w:tc>
        <w:tc>
          <w:tcPr>
            <w:tcW w:w="1589"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c>
          <w:tcPr>
            <w:tcW w:w="1923" w:type="dxa"/>
            <w:tcBorders>
              <w:top w:val="single" w:color="000000" w:sz="12"/>
              <w:left w:val="single" w:color="000000" w:sz="12"/>
              <w:bottom w:val="single" w:color="000000" w:sz="12"/>
              <w:right w:val="single" w:color="000000" w:sz="12"/>
            </w:tcBorders>
            <w:shd w:color="000000" w:fill="ffffff" w:val="clear"/>
            <w:tcMar>
              <w:left w:w="7" w:type="dxa"/>
              <w:right w:w="7" w:type="dxa"/>
            </w:tcMar>
            <w:vAlign w:val="center"/>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Yhteistyössä</w:t>
            </w:r>
          </w:p>
        </w:tc>
      </w:tr>
    </w:tbl>
    <w:p>
      <w:pPr>
        <w:tabs>
          <w:tab w:val="left" w:pos="7812" w:leader="none"/>
        </w:tabs>
        <w:spacing w:before="0" w:after="160" w:line="278"/>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ab/>
      </w:r>
    </w:p>
    <w:p>
      <w:pPr>
        <w:tabs>
          <w:tab w:val="left" w:pos="7812" w:leader="none"/>
        </w:tabs>
        <w:spacing w:before="0" w:after="160" w:line="278"/>
        <w:ind w:right="0" w:left="0" w:firstLine="0"/>
        <w:jc w:val="left"/>
        <w:rPr>
          <w:rFonts w:ascii="Arial" w:hAnsi="Arial" w:cs="Arial" w:eastAsia="Arial"/>
          <w:color w:val="auto"/>
          <w:spacing w:val="0"/>
          <w:position w:val="0"/>
          <w:sz w:val="24"/>
          <w:shd w:fill="auto" w:val="clear"/>
        </w:rPr>
      </w:pPr>
    </w:p>
    <w:p>
      <w:pPr>
        <w:suppressAutoHyphens w:val="true"/>
        <w:spacing w:before="0" w:after="200" w:line="276"/>
        <w:ind w:right="0" w:left="0" w:firstLine="0"/>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Liite 5. Viestintäsuunnitelma</w:t>
      </w:r>
    </w:p>
    <w:p>
      <w:pPr>
        <w:spacing w:before="0" w:after="160" w:line="278"/>
        <w:ind w:right="0" w:left="0" w:firstLine="0"/>
        <w:jc w:val="left"/>
        <w:rPr>
          <w:rFonts w:ascii="Arial" w:hAnsi="Arial" w:cs="Arial" w:eastAsia="Arial"/>
          <w:color w:val="auto"/>
          <w:spacing w:val="0"/>
          <w:position w:val="0"/>
          <w:sz w:val="24"/>
          <w:shd w:fill="auto" w:val="clear"/>
        </w:rPr>
      </w:pPr>
    </w:p>
    <w:tbl>
      <w:tblPr/>
      <w:tblGrid>
        <w:gridCol w:w="2196"/>
        <w:gridCol w:w="3945"/>
        <w:gridCol w:w="2593"/>
        <w:gridCol w:w="2540"/>
        <w:gridCol w:w="2527"/>
      </w:tblGrid>
      <w:tr>
        <w:trPr>
          <w:trHeight w:val="1585" w:hRule="auto"/>
          <w:jc w:val="left"/>
        </w:trPr>
        <w:tc>
          <w:tcPr>
            <w:tcW w:w="2196"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Kohderyhmä </w:t>
            </w:r>
            <w:r>
              <w:rPr>
                <w:rFonts w:ascii="Arial" w:hAnsi="Arial" w:cs="Arial" w:eastAsia="Arial"/>
                <w:color w:val="auto"/>
                <w:spacing w:val="0"/>
                <w:position w:val="0"/>
                <w:sz w:val="24"/>
                <w:shd w:fill="auto" w:val="clear"/>
              </w:rPr>
              <w:t xml:space="preserve"> </w:t>
            </w:r>
          </w:p>
        </w:tc>
        <w:tc>
          <w:tcPr>
            <w:tcW w:w="39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Aihe</w:t>
            </w:r>
          </w:p>
        </w:tc>
        <w:tc>
          <w:tcPr>
            <w:tcW w:w="2593"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Viestintäkanava/-muoto</w:t>
            </w:r>
          </w:p>
        </w:tc>
        <w:tc>
          <w:tcPr>
            <w:tcW w:w="254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Toteutus-vastuu</w:t>
            </w:r>
          </w:p>
        </w:tc>
        <w:tc>
          <w:tcPr>
            <w:tcW w:w="2527"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Ajankohta</w:t>
            </w:r>
            <w:r>
              <w:rPr>
                <w:rFonts w:ascii="Arial" w:hAnsi="Arial" w:cs="Arial" w:eastAsia="Arial"/>
                <w:color w:val="auto"/>
                <w:spacing w:val="0"/>
                <w:position w:val="0"/>
                <w:sz w:val="24"/>
                <w:shd w:fill="auto" w:val="clear"/>
              </w:rPr>
              <w:t xml:space="preserve"> </w:t>
            </w:r>
          </w:p>
        </w:tc>
      </w:tr>
      <w:tr>
        <w:trPr>
          <w:trHeight w:val="1151" w:hRule="auto"/>
          <w:jc w:val="left"/>
        </w:trPr>
        <w:tc>
          <w:tcPr>
            <w:tcW w:w="2196"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Toimeksiantaja</w:t>
            </w:r>
          </w:p>
        </w:tc>
        <w:tc>
          <w:tcPr>
            <w:tcW w:w="39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Sisällön ohjaus, palautteen antaminen</w:t>
            </w:r>
          </w:p>
        </w:tc>
        <w:tc>
          <w:tcPr>
            <w:tcW w:w="2593"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Sähköposti, tapaamiset</w:t>
            </w:r>
          </w:p>
        </w:tc>
        <w:tc>
          <w:tcPr>
            <w:tcW w:w="254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Nea Lampinen ja Tanja Niemelä</w:t>
            </w:r>
          </w:p>
        </w:tc>
        <w:tc>
          <w:tcPr>
            <w:tcW w:w="2527"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Koko prosessin ajan</w:t>
            </w:r>
          </w:p>
        </w:tc>
      </w:tr>
      <w:tr>
        <w:trPr>
          <w:trHeight w:val="1151" w:hRule="auto"/>
          <w:jc w:val="left"/>
        </w:trPr>
        <w:tc>
          <w:tcPr>
            <w:tcW w:w="2196"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Arvioijat</w:t>
            </w:r>
          </w:p>
        </w:tc>
        <w:tc>
          <w:tcPr>
            <w:tcW w:w="39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Arviointi, palautteen antaminen</w:t>
            </w:r>
          </w:p>
        </w:tc>
        <w:tc>
          <w:tcPr>
            <w:tcW w:w="2593"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Raportti, esitys</w:t>
            </w:r>
          </w:p>
        </w:tc>
        <w:tc>
          <w:tcPr>
            <w:tcW w:w="254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Nea Lampinen ja Tanja Niemelä</w:t>
            </w:r>
          </w:p>
        </w:tc>
        <w:tc>
          <w:tcPr>
            <w:tcW w:w="2527"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Koko prosessin ajan</w:t>
            </w:r>
          </w:p>
        </w:tc>
      </w:tr>
      <w:tr>
        <w:trPr>
          <w:trHeight w:val="1151" w:hRule="auto"/>
          <w:jc w:val="left"/>
        </w:trPr>
        <w:tc>
          <w:tcPr>
            <w:tcW w:w="2196"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Suomen kotisairaalayhdistys</w:t>
            </w:r>
          </w:p>
        </w:tc>
        <w:tc>
          <w:tcPr>
            <w:tcW w:w="39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Sisällön jakaminen</w:t>
            </w:r>
          </w:p>
        </w:tc>
        <w:tc>
          <w:tcPr>
            <w:tcW w:w="2593"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Sähköposti</w:t>
            </w:r>
          </w:p>
        </w:tc>
        <w:tc>
          <w:tcPr>
            <w:tcW w:w="254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Nea Lampinen ja Tanja Niemelä</w:t>
            </w:r>
          </w:p>
        </w:tc>
        <w:tc>
          <w:tcPr>
            <w:tcW w:w="2527"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Ennen toteutusvaiheeseen siirtymistä, raportin valmistuessa</w:t>
            </w:r>
          </w:p>
        </w:tc>
      </w:tr>
      <w:tr>
        <w:trPr>
          <w:trHeight w:val="1151" w:hRule="auto"/>
          <w:jc w:val="left"/>
        </w:trPr>
        <w:tc>
          <w:tcPr>
            <w:tcW w:w="2196"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Opinnäytetyön tekijät</w:t>
            </w:r>
          </w:p>
        </w:tc>
        <w:tc>
          <w:tcPr>
            <w:tcW w:w="39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Työnjako, työn tekeminen, palautteen anto, arviointi</w:t>
            </w:r>
          </w:p>
        </w:tc>
        <w:tc>
          <w:tcPr>
            <w:tcW w:w="2593"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Sähköposti, puhelin, teams-palaverit, tapaamiset</w:t>
            </w:r>
          </w:p>
        </w:tc>
        <w:tc>
          <w:tcPr>
            <w:tcW w:w="254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Nea Lampinen ja Tanja Niemelä</w:t>
            </w:r>
          </w:p>
        </w:tc>
        <w:tc>
          <w:tcPr>
            <w:tcW w:w="2527" w:type="dxa"/>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160" w:line="278"/>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 Koko prosessin ajan</w:t>
            </w:r>
          </w:p>
        </w:tc>
      </w:tr>
    </w:tbl>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suppressAutoHyphens w:val="true"/>
        <w:spacing w:before="0" w:after="480" w:line="312"/>
        <w:ind w:right="0" w:left="0" w:firstLine="0"/>
        <w:jc w:val="left"/>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Liite 6. Kivunhoidon tietotesti © (Grommi-Vaajoki-Voutilainen-Kankkunen 2026)</w:t>
      </w: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object w:dxaOrig="9241" w:dyaOrig="10944">
          <v:rect xmlns:o="urn:schemas-microsoft-com:office:office" xmlns:v="urn:schemas-microsoft-com:vml" id="rectole0000000005" style="width:462.050000pt;height:547.200000pt" o:preferrelative="t" o:ole="">
            <o:lock v:ext="edit"/>
            <v:imagedata xmlns:r="http://schemas.openxmlformats.org/officeDocument/2006/relationships" r:id="docRId28" o:title=""/>
          </v:rect>
          <o:OLEObject xmlns:r="http://schemas.openxmlformats.org/officeDocument/2006/relationships" xmlns:o="urn:schemas-microsoft-com:office:office" Type="Embed" ProgID="StaticMetafile" DrawAspect="Content" ObjectID="0000000005" ShapeID="rectole0000000005" r:id="docRId27"/>
        </w:object>
      </w: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r>
        <w:object w:dxaOrig="8703" w:dyaOrig="1757">
          <v:rect xmlns:o="urn:schemas-microsoft-com:office:office" xmlns:v="urn:schemas-microsoft-com:vml" id="rectole0000000006" style="width:435.150000pt;height:87.850000pt" o:preferrelative="t" o:ole="">
            <o:lock v:ext="edit"/>
            <v:imagedata xmlns:r="http://schemas.openxmlformats.org/officeDocument/2006/relationships" r:id="docRId30" o:title=""/>
          </v:rect>
          <o:OLEObject xmlns:r="http://schemas.openxmlformats.org/officeDocument/2006/relationships" xmlns:o="urn:schemas-microsoft-com:office:office" Type="Embed" ProgID="StaticMetafile" DrawAspect="Content" ObjectID="0000000006" ShapeID="rectole0000000006" r:id="docRId29"/>
        </w:object>
      </w:r>
      <w:r>
        <w:object w:dxaOrig="8703" w:dyaOrig="2071">
          <v:rect xmlns:o="urn:schemas-microsoft-com:office:office" xmlns:v="urn:schemas-microsoft-com:vml" id="rectole0000000007" style="width:435.150000pt;height:103.550000pt" o:preferrelative="t" o:ole="">
            <o:lock v:ext="edit"/>
            <v:imagedata xmlns:r="http://schemas.openxmlformats.org/officeDocument/2006/relationships" r:id="docRId32" o:title=""/>
          </v:rect>
          <o:OLEObject xmlns:r="http://schemas.openxmlformats.org/officeDocument/2006/relationships" xmlns:o="urn:schemas-microsoft-com:office:office" Type="Embed" ProgID="StaticMetafile" DrawAspect="Content" ObjectID="0000000007" ShapeID="rectole0000000007" r:id="docRId31"/>
        </w:object>
      </w: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object w:dxaOrig="8703" w:dyaOrig="4704">
          <v:rect xmlns:o="urn:schemas-microsoft-com:office:office" xmlns:v="urn:schemas-microsoft-com:vml" id="rectole0000000008" style="width:435.150000pt;height:235.200000pt" o:preferrelative="t" o:ole="">
            <o:lock v:ext="edit"/>
            <v:imagedata xmlns:r="http://schemas.openxmlformats.org/officeDocument/2006/relationships" r:id="docRId34" o:title=""/>
          </v:rect>
          <o:OLEObject xmlns:r="http://schemas.openxmlformats.org/officeDocument/2006/relationships" xmlns:o="urn:schemas-microsoft-com:office:office" Type="Embed" ProgID="StaticMetafile" DrawAspect="Content" ObjectID="0000000008" ShapeID="rectole0000000008" r:id="docRId33"/>
        </w:object>
      </w:r>
    </w:p>
    <w:p>
      <w:pPr>
        <w:spacing w:before="0" w:after="200" w:line="276"/>
        <w:ind w:right="0" w:left="0" w:firstLine="0"/>
        <w:jc w:val="left"/>
        <w:rPr>
          <w:rFonts w:ascii="Arial" w:hAnsi="Arial" w:cs="Arial" w:eastAsia="Arial"/>
          <w:color w:val="auto"/>
          <w:spacing w:val="0"/>
          <w:position w:val="0"/>
          <w:sz w:val="24"/>
          <w:shd w:fill="auto" w:val="clear"/>
        </w:rPr>
      </w:pPr>
      <w:r>
        <w:object w:dxaOrig="8257" w:dyaOrig="7041">
          <v:rect xmlns:o="urn:schemas-microsoft-com:office:office" xmlns:v="urn:schemas-microsoft-com:vml" id="rectole0000000009" style="width:412.850000pt;height:352.050000pt" o:preferrelative="t" o:ole="">
            <o:lock v:ext="edit"/>
            <v:imagedata xmlns:r="http://schemas.openxmlformats.org/officeDocument/2006/relationships" r:id="docRId36" o:title=""/>
          </v:rect>
          <o:OLEObject xmlns:r="http://schemas.openxmlformats.org/officeDocument/2006/relationships" xmlns:o="urn:schemas-microsoft-com:office:office" Type="Embed" ProgID="StaticMetafile" DrawAspect="Content" ObjectID="0000000009" ShapeID="rectole0000000009" r:id="docRId35"/>
        </w:object>
      </w:r>
      <w:r>
        <w:object w:dxaOrig="5299" w:dyaOrig="5175">
          <v:rect xmlns:o="urn:schemas-microsoft-com:office:office" xmlns:v="urn:schemas-microsoft-com:vml" id="rectole0000000010" style="width:264.950000pt;height:258.750000pt" o:preferrelative="t" o:ole="">
            <o:lock v:ext="edit"/>
            <v:imagedata xmlns:r="http://schemas.openxmlformats.org/officeDocument/2006/relationships" r:id="docRId38" o:title=""/>
          </v:rect>
          <o:OLEObject xmlns:r="http://schemas.openxmlformats.org/officeDocument/2006/relationships" xmlns:o="urn:schemas-microsoft-com:office:office" Type="Embed" ProgID="StaticMetafile" DrawAspect="Content" ObjectID="0000000010" ShapeID="rectole0000000010" r:id="docRId37"/>
        </w:objec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object w:dxaOrig="6566" w:dyaOrig="7189">
          <v:rect xmlns:o="urn:schemas-microsoft-com:office:office" xmlns:v="urn:schemas-microsoft-com:vml" id="rectole0000000011" style="width:328.300000pt;height:359.450000pt" o:preferrelative="t" o:ole="">
            <o:lock v:ext="edit"/>
            <v:imagedata xmlns:r="http://schemas.openxmlformats.org/officeDocument/2006/relationships" r:id="docRId40" o:title=""/>
          </v:rect>
          <o:OLEObject xmlns:r="http://schemas.openxmlformats.org/officeDocument/2006/relationships" xmlns:o="urn:schemas-microsoft-com:office:office" Type="Embed" ProgID="StaticMetafile" DrawAspect="Content" ObjectID="0000000011" ShapeID="rectole0000000011" r:id="docRId39"/>
        </w:object>
      </w:r>
      <w:r>
        <w:object w:dxaOrig="6940" w:dyaOrig="6397">
          <v:rect xmlns:o="urn:schemas-microsoft-com:office:office" xmlns:v="urn:schemas-microsoft-com:vml" id="rectole0000000012" style="width:347.000000pt;height:319.850000pt" o:preferrelative="t" o:ole="">
            <o:lock v:ext="edit"/>
            <v:imagedata xmlns:r="http://schemas.openxmlformats.org/officeDocument/2006/relationships" r:id="docRId42" o:title=""/>
          </v:rect>
          <o:OLEObject xmlns:r="http://schemas.openxmlformats.org/officeDocument/2006/relationships" xmlns:o="urn:schemas-microsoft-com:office:office" Type="Embed" ProgID="StaticMetafile" DrawAspect="Content" ObjectID="0000000012" ShapeID="rectole0000000012" r:id="docRId41"/>
        </w:objec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object w:dxaOrig="6589" w:dyaOrig="4449">
          <v:rect xmlns:o="urn:schemas-microsoft-com:office:office" xmlns:v="urn:schemas-microsoft-com:vml" id="rectole0000000013" style="width:329.450000pt;height:222.450000pt" o:preferrelative="t" o:ole="">
            <o:lock v:ext="edit"/>
            <v:imagedata xmlns:r="http://schemas.openxmlformats.org/officeDocument/2006/relationships" r:id="docRId44" o:title=""/>
          </v:rect>
          <o:OLEObject xmlns:r="http://schemas.openxmlformats.org/officeDocument/2006/relationships" xmlns:o="urn:schemas-microsoft-com:office:office" Type="Embed" ProgID="StaticMetafile" DrawAspect="Content" ObjectID="0000000013" ShapeID="rectole0000000013" r:id="docRId43"/>
        </w:object>
      </w:r>
    </w:p>
    <w:p>
      <w:pPr>
        <w:spacing w:before="0" w:after="200" w:line="276"/>
        <w:ind w:right="0" w:left="0" w:firstLine="0"/>
        <w:jc w:val="left"/>
        <w:rPr>
          <w:rFonts w:ascii="Arial" w:hAnsi="Arial" w:cs="Arial" w:eastAsia="Arial"/>
          <w:color w:val="auto"/>
          <w:spacing w:val="0"/>
          <w:position w:val="0"/>
          <w:sz w:val="24"/>
          <w:shd w:fill="auto" w:val="clear"/>
        </w:rPr>
      </w:pPr>
      <w:r>
        <w:object w:dxaOrig="7001" w:dyaOrig="4982">
          <v:rect xmlns:o="urn:schemas-microsoft-com:office:office" xmlns:v="urn:schemas-microsoft-com:vml" id="rectole0000000014" style="width:350.050000pt;height:249.100000pt" o:preferrelative="t" o:ole="">
            <o:lock v:ext="edit"/>
            <v:imagedata xmlns:r="http://schemas.openxmlformats.org/officeDocument/2006/relationships" r:id="docRId46" o:title=""/>
          </v:rect>
          <o:OLEObject xmlns:r="http://schemas.openxmlformats.org/officeDocument/2006/relationships" xmlns:o="urn:schemas-microsoft-com:office:office" Type="Embed" ProgID="StaticMetafile" DrawAspect="Content" ObjectID="0000000014" ShapeID="rectole0000000014" r:id="docRId45"/>
        </w:objec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object w:dxaOrig="6019" w:dyaOrig="3116">
          <v:rect xmlns:o="urn:schemas-microsoft-com:office:office" xmlns:v="urn:schemas-microsoft-com:vml" id="rectole0000000015" style="width:300.950000pt;height:155.800000pt" o:preferrelative="t" o:ole="">
            <o:lock v:ext="edit"/>
            <v:imagedata xmlns:r="http://schemas.openxmlformats.org/officeDocument/2006/relationships" r:id="docRId48" o:title=""/>
          </v:rect>
          <o:OLEObject xmlns:r="http://schemas.openxmlformats.org/officeDocument/2006/relationships" xmlns:o="urn:schemas-microsoft-com:office:office" Type="Embed" ProgID="StaticMetafile" DrawAspect="Content" ObjectID="0000000015" ShapeID="rectole0000000015" r:id="docRId47"/>
        </w:object>
      </w: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r>
        <w:object w:dxaOrig="4859" w:dyaOrig="2721">
          <v:rect xmlns:o="urn:schemas-microsoft-com:office:office" xmlns:v="urn:schemas-microsoft-com:vml" id="rectole0000000016" style="width:242.950000pt;height:136.050000pt" o:preferrelative="t" o:ole="">
            <o:lock v:ext="edit"/>
            <v:imagedata xmlns:r="http://schemas.openxmlformats.org/officeDocument/2006/relationships" r:id="docRId50" o:title=""/>
          </v:rect>
          <o:OLEObject xmlns:r="http://schemas.openxmlformats.org/officeDocument/2006/relationships" xmlns:o="urn:schemas-microsoft-com:office:office" Type="Embed" ProgID="StaticMetafile" DrawAspect="Content" ObjectID="0000000016" ShapeID="rectole0000000016" r:id="docRId49"/>
        </w:object>
      </w:r>
    </w:p>
    <w:p>
      <w:pPr>
        <w:tabs>
          <w:tab w:val="left" w:pos="2175" w:leader="none"/>
        </w:tabs>
        <w:spacing w:before="0" w:after="200" w:line="276"/>
        <w:ind w:right="0" w:left="0" w:firstLine="0"/>
        <w:jc w:val="left"/>
        <w:rPr>
          <w:rFonts w:ascii="Arial" w:hAnsi="Arial" w:cs="Arial" w:eastAsia="Arial"/>
          <w:color w:val="auto"/>
          <w:spacing w:val="0"/>
          <w:position w:val="0"/>
          <w:sz w:val="24"/>
          <w:shd w:fill="auto" w:val="clear"/>
        </w:rPr>
      </w:pPr>
      <w:r>
        <w:object w:dxaOrig="8460" w:dyaOrig="2606">
          <v:rect xmlns:o="urn:schemas-microsoft-com:office:office" xmlns:v="urn:schemas-microsoft-com:vml" id="rectole0000000017" style="width:423.000000pt;height:130.300000pt" o:preferrelative="t" o:ole="">
            <o:lock v:ext="edit"/>
            <v:imagedata xmlns:r="http://schemas.openxmlformats.org/officeDocument/2006/relationships" r:id="docRId52" o:title=""/>
          </v:rect>
          <o:OLEObject xmlns:r="http://schemas.openxmlformats.org/officeDocument/2006/relationships" xmlns:o="urn:schemas-microsoft-com:office:office" Type="Embed" ProgID="StaticMetafile" DrawAspect="Content" ObjectID="0000000017" ShapeID="rectole0000000017" r:id="docRId51"/>
        </w:objec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num w:numId="7">
    <w:abstractNumId w:val="78"/>
  </w:num>
  <w:num w:numId="16">
    <w:abstractNumId w:val="72"/>
  </w:num>
  <w:num w:numId="19">
    <w:abstractNumId w:val="66"/>
  </w:num>
  <w:num w:numId="21">
    <w:abstractNumId w:val="60"/>
  </w:num>
  <w:num w:numId="23">
    <w:abstractNumId w:val="54"/>
  </w:num>
  <w:num w:numId="26">
    <w:abstractNumId w:val="48"/>
  </w:num>
  <w:num w:numId="30">
    <w:abstractNumId w:val="42"/>
  </w:num>
  <w:num w:numId="32">
    <w:abstractNumId w:val="36"/>
  </w:num>
  <w:num w:numId="36">
    <w:abstractNumId w:val="30"/>
  </w:num>
  <w:num w:numId="38">
    <w:abstractNumId w:val="24"/>
  </w:num>
  <w:num w:numId="41">
    <w:abstractNumId w:val="18"/>
  </w:num>
  <w:num w:numId="43">
    <w:abstractNumId w:val="12"/>
  </w:num>
  <w:num w:numId="45">
    <w:abstractNumId w:val="6"/>
  </w:num>
  <w:num w:numId="4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julkaisut.valtioneuvosto.fi/bitstream/handle/10024/165916/VNTEAS_2024_38.pdf" Id="docRId7" Type="http://schemas.openxmlformats.org/officeDocument/2006/relationships/hyperlink" /><Relationship TargetMode="External" Target="https://suomenkotisairaalayhdistys.yhdistysavain.fi/yhdistys/" Id="docRId14" Type="http://schemas.openxmlformats.org/officeDocument/2006/relationships/hyperlink" /><Relationship Target="media/image8.wmf" Id="docRId34" Type="http://schemas.openxmlformats.org/officeDocument/2006/relationships/image" /><Relationship Target="embeddings/oleObject15.bin" Id="docRId47" Type="http://schemas.openxmlformats.org/officeDocument/2006/relationships/oleObject" /><Relationship Target="media/image2.wmf" Id="docRId22" Type="http://schemas.openxmlformats.org/officeDocument/2006/relationships/image" /><Relationship TargetMode="External" Target="https://journal.fi/hoitotiede/article/view/136420/84669?acceptCookies=1" Id="docRId9" Type="http://schemas.openxmlformats.org/officeDocument/2006/relationships/hyperlink" /><Relationship Target="embeddings/oleObject0.bin" Id="docRId0" Type="http://schemas.openxmlformats.org/officeDocument/2006/relationships/oleObject" /><Relationship Target="embeddings/oleObject6.bin" Id="docRId29" Type="http://schemas.openxmlformats.org/officeDocument/2006/relationships/oleObject" /><Relationship Target="media/image9.wmf" Id="docRId36" Type="http://schemas.openxmlformats.org/officeDocument/2006/relationships/image" /><Relationship Target="embeddings/oleObject16.bin" Id="docRId49" Type="http://schemas.openxmlformats.org/officeDocument/2006/relationships/oleObject" /><Relationship Target="numbering.xml" Id="docRId53" Type="http://schemas.openxmlformats.org/officeDocument/2006/relationships/numbering" /><Relationship TargetMode="External" Target="https://doi.org/10.37506/jdp7j820" Id="docRId13" Type="http://schemas.openxmlformats.org/officeDocument/2006/relationships/hyperlink" /><Relationship Target="media/image1.wmf" Id="docRId20" Type="http://schemas.openxmlformats.org/officeDocument/2006/relationships/image" /><Relationship Target="media/image11.wmf" Id="docRId40" Type="http://schemas.openxmlformats.org/officeDocument/2006/relationships/image" /><Relationship TargetMode="External" Target="https://doi.org/10.1186/s12912-025-02733-6" Id="docRId18" Type="http://schemas.openxmlformats.org/officeDocument/2006/relationships/hyperlink" /><Relationship TargetMode="External" Target="https://doi.org/10.12968/bjon.2024.0407" Id="docRId2" Type="http://schemas.openxmlformats.org/officeDocument/2006/relationships/hyperlink" /><Relationship Target="media/image10.wmf" Id="docRId38" Type="http://schemas.openxmlformats.org/officeDocument/2006/relationships/image" /><Relationship Target="embeddings/oleObject17.bin" Id="docRId51" Type="http://schemas.openxmlformats.org/officeDocument/2006/relationships/oleObject" /><Relationship TargetMode="External" Target="https://kaks.fi/wp-content/uploads/2021/03/40_koti-sairaalana.pdf" Id="docRId11" Type="http://schemas.openxmlformats.org/officeDocument/2006/relationships/hyperlink" /><Relationship Target="embeddings/oleObject1.bin" Id="docRId19" Type="http://schemas.openxmlformats.org/officeDocument/2006/relationships/oleObject" /><Relationship Target="media/image4.wmf" Id="docRId26" Type="http://schemas.openxmlformats.org/officeDocument/2006/relationships/image" /><Relationship Target="embeddings/oleObject7.bin" Id="docRId31" Type="http://schemas.openxmlformats.org/officeDocument/2006/relationships/oleObject" /><Relationship Target="embeddings/oleObject11.bin" Id="docRId39" Type="http://schemas.openxmlformats.org/officeDocument/2006/relationships/oleObject" /><Relationship Target="media/image12.wmf" Id="docRId42" Type="http://schemas.openxmlformats.org/officeDocument/2006/relationships/image" /><Relationship TargetMode="External" Target="https://erepo.uef.fi/server/api/core/bitstreams/4be346d7-b0bf-4965-9cd1-481733d0e94c/content" Id="docRId5" Type="http://schemas.openxmlformats.org/officeDocument/2006/relationships/hyperlink" /><Relationship TargetMode="External" Target="https://tenk.fi/sites/default/files/2021-01/Ihmistieteiden_eettisen_ennakkoarvioinnin_ohje_2020.pdf" Id="docRId16" Type="http://schemas.openxmlformats.org/officeDocument/2006/relationships/hyperlink" /><Relationship Target="embeddings/oleObject4.bin" Id="docRId25" Type="http://schemas.openxmlformats.org/officeDocument/2006/relationships/oleObject" /><Relationship Target="media/image7.wmf" Id="docRId32" Type="http://schemas.openxmlformats.org/officeDocument/2006/relationships/image" /><Relationship TargetMode="External" Target="https://eur-lex.europa.eu/legal-content/FI/TXT/PDF/?uri=CELEX:32016R0679" Id="docRId4" Type="http://schemas.openxmlformats.org/officeDocument/2006/relationships/hyperlink" /><Relationship Target="embeddings/oleObject14.bin" Id="docRId45" Type="http://schemas.openxmlformats.org/officeDocument/2006/relationships/oleObject" /><Relationship TargetMode="External" Target="https://tenk.fi/fi/hyva-tieteellinen-kaytanto-htk" Id="docRId17" Type="http://schemas.openxmlformats.org/officeDocument/2006/relationships/hyperlink" /><Relationship Target="media/image3.wmf" Id="docRId24" Type="http://schemas.openxmlformats.org/officeDocument/2006/relationships/image" /><Relationship Target="embeddings/oleObject8.bin" Id="docRId33" Type="http://schemas.openxmlformats.org/officeDocument/2006/relationships/oleObject" /><Relationship Target="media/image13.wmf" Id="docRId44" Type="http://schemas.openxmlformats.org/officeDocument/2006/relationships/image" /><Relationship Target="styles.xml" Id="docRId54" Type="http://schemas.openxmlformats.org/officeDocument/2006/relationships/styles" /><Relationship Target="embeddings/oleObject3.bin" Id="docRId23" Type="http://schemas.openxmlformats.org/officeDocument/2006/relationships/oleObject" /><Relationship TargetMode="External" Target="https://www.duodecimlehti.fi/duo10822;value=kivun%20arviointi" Id="docRId6" Type="http://schemas.openxmlformats.org/officeDocument/2006/relationships/hyperlink" /><Relationship Target="media/image0.wmf" Id="docRId1" Type="http://schemas.openxmlformats.org/officeDocument/2006/relationships/image" /><Relationship TargetMode="External" Target="https://urn.fi/URN:ISBN:978-952-00-3843-4" Id="docRId15" Type="http://schemas.openxmlformats.org/officeDocument/2006/relationships/hyperlink" /><Relationship Target="embeddings/oleObject9.bin" Id="docRId35" Type="http://schemas.openxmlformats.org/officeDocument/2006/relationships/oleObject" /><Relationship Target="media/image14.wmf" Id="docRId46" Type="http://schemas.openxmlformats.org/officeDocument/2006/relationships/image" /><Relationship Target="media/image17.wmf" Id="docRId52" Type="http://schemas.openxmlformats.org/officeDocument/2006/relationships/image" /><Relationship TargetMode="External" Target="https://doi.org/10.23996/fjhw.146718" Id="docRId12" Type="http://schemas.openxmlformats.org/officeDocument/2006/relationships/hyperlink" /><Relationship Target="embeddings/oleObject2.bin" Id="docRId21" Type="http://schemas.openxmlformats.org/officeDocument/2006/relationships/oleObject" /><Relationship Target="embeddings/oleObject12.bin" Id="docRId41" Type="http://schemas.openxmlformats.org/officeDocument/2006/relationships/oleObject" /><Relationship TargetMode="External" Target="https://www.iasp-pain.org/" Id="docRId8" Type="http://schemas.openxmlformats.org/officeDocument/2006/relationships/hyperlink" /><Relationship Target="media/image5.wmf" Id="docRId28" Type="http://schemas.openxmlformats.org/officeDocument/2006/relationships/image" /><Relationship TargetMode="External" Target="https://doi.org/10.3390/nursrep15120442" Id="docRId3" Type="http://schemas.openxmlformats.org/officeDocument/2006/relationships/hyperlink" /><Relationship Target="embeddings/oleObject10.bin" Id="docRId37" Type="http://schemas.openxmlformats.org/officeDocument/2006/relationships/oleObject" /><Relationship Target="media/image15.wmf" Id="docRId48" Type="http://schemas.openxmlformats.org/officeDocument/2006/relationships/image" /><Relationship Target="media/image16.wmf" Id="docRId50" Type="http://schemas.openxmlformats.org/officeDocument/2006/relationships/image" /><Relationship TargetMode="External" Target="https://www.kaypahoito.fi/hoi50103" Id="docRId10" Type="http://schemas.openxmlformats.org/officeDocument/2006/relationships/hyperlink" /><Relationship Target="embeddings/oleObject5.bin" Id="docRId27" Type="http://schemas.openxmlformats.org/officeDocument/2006/relationships/oleObject" /><Relationship Target="media/image6.wmf" Id="docRId30" Type="http://schemas.openxmlformats.org/officeDocument/2006/relationships/image" /><Relationship Target="embeddings/oleObject13.bin" Id="docRId43" Type="http://schemas.openxmlformats.org/officeDocument/2006/relationships/oleObject" /></Relationships>
</file>